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F77038">
      <w:pPr>
        <w:spacing w:line="360" w:lineRule="auto"/>
        <w:jc w:val="center"/>
        <w:rPr>
          <w:rFonts w:ascii="华文中宋" w:hAnsi="华文中宋" w:eastAsia="华文中宋"/>
          <w:color w:val="000000"/>
          <w:sz w:val="36"/>
          <w:szCs w:val="36"/>
        </w:rPr>
      </w:pPr>
      <w:r>
        <w:rPr>
          <w:rFonts w:hint="eastAsia" w:ascii="黑体" w:hAnsi="黑体" w:eastAsia="黑体" w:cs="黑体"/>
          <w:color w:val="000000"/>
        </w:rPr>
        <w:t>安徽省地方标准编制说明</w:t>
      </w:r>
    </w:p>
    <w:tbl>
      <w:tblPr>
        <w:tblStyle w:val="2"/>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996"/>
        <w:gridCol w:w="3350"/>
        <w:gridCol w:w="1619"/>
        <w:gridCol w:w="1315"/>
        <w:gridCol w:w="1596"/>
      </w:tblGrid>
      <w:tr w14:paraId="5CC6A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0" w:type="dxa"/>
            <w:gridSpan w:val="2"/>
            <w:vAlign w:val="center"/>
          </w:tcPr>
          <w:p w14:paraId="437E25EE">
            <w:pPr>
              <w:pStyle w:val="4"/>
              <w:adjustRightInd w:val="0"/>
              <w:spacing w:line="360" w:lineRule="auto"/>
              <w:ind w:firstLine="0" w:firstLineChars="0"/>
              <w:contextualSpacing/>
              <w:jc w:val="center"/>
              <w:rPr>
                <w:rFonts w:hAnsi="宋体"/>
                <w:szCs w:val="21"/>
              </w:rPr>
            </w:pPr>
            <w:r>
              <w:rPr>
                <w:rFonts w:hint="eastAsia" w:hAnsi="宋体"/>
                <w:szCs w:val="21"/>
              </w:rPr>
              <w:t>标准名称</w:t>
            </w:r>
          </w:p>
        </w:tc>
        <w:tc>
          <w:tcPr>
            <w:tcW w:w="7880" w:type="dxa"/>
            <w:gridSpan w:val="4"/>
            <w:vAlign w:val="center"/>
          </w:tcPr>
          <w:p w14:paraId="610EBF41">
            <w:pPr>
              <w:pStyle w:val="4"/>
              <w:adjustRightInd w:val="0"/>
              <w:spacing w:line="360" w:lineRule="auto"/>
              <w:ind w:firstLine="0" w:firstLineChars="0"/>
              <w:contextualSpacing/>
              <w:rPr>
                <w:rFonts w:hint="default" w:hAnsi="宋体" w:eastAsia="宋体"/>
                <w:szCs w:val="21"/>
                <w:lang w:val="en-US" w:eastAsia="zh-CN"/>
              </w:rPr>
            </w:pPr>
            <w:r>
              <w:rPr>
                <w:rFonts w:hint="eastAsia" w:hAnsi="宋体"/>
                <w:szCs w:val="21"/>
              </w:rPr>
              <w:t>内河水运设施健康监测与预警技术规范</w:t>
            </w:r>
            <w:r>
              <w:rPr>
                <w:rFonts w:hint="eastAsia" w:hAnsi="宋体"/>
                <w:szCs w:val="21"/>
                <w:lang w:val="en-US" w:eastAsia="zh-CN"/>
              </w:rPr>
              <w:t xml:space="preserve"> </w:t>
            </w:r>
            <w:r>
              <w:rPr>
                <w:rFonts w:hint="eastAsia" w:hAnsi="宋体"/>
                <w:szCs w:val="21"/>
              </w:rPr>
              <w:t>第</w:t>
            </w:r>
            <w:r>
              <w:rPr>
                <w:rFonts w:hint="eastAsia" w:hAnsi="宋体"/>
                <w:szCs w:val="21"/>
                <w:lang w:val="en-US" w:eastAsia="zh-CN"/>
              </w:rPr>
              <w:t>2</w:t>
            </w:r>
            <w:r>
              <w:rPr>
                <w:rFonts w:hint="eastAsia" w:hAnsi="宋体"/>
                <w:szCs w:val="21"/>
              </w:rPr>
              <w:t>部分：</w:t>
            </w:r>
            <w:r>
              <w:rPr>
                <w:rFonts w:hint="eastAsia" w:hAnsi="宋体"/>
                <w:szCs w:val="21"/>
                <w:lang w:val="en-US" w:eastAsia="zh-CN"/>
              </w:rPr>
              <w:t>平台技术要求</w:t>
            </w:r>
            <w:bookmarkStart w:id="30" w:name="_GoBack"/>
            <w:bookmarkEnd w:id="30"/>
          </w:p>
        </w:tc>
      </w:tr>
      <w:tr w14:paraId="2EA51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1690" w:type="dxa"/>
            <w:gridSpan w:val="2"/>
            <w:vAlign w:val="center"/>
          </w:tcPr>
          <w:p w14:paraId="6A551C18">
            <w:pPr>
              <w:pStyle w:val="4"/>
              <w:adjustRightInd w:val="0"/>
              <w:spacing w:line="360" w:lineRule="auto"/>
              <w:ind w:firstLine="0" w:firstLineChars="0"/>
              <w:contextualSpacing/>
              <w:jc w:val="center"/>
              <w:rPr>
                <w:rFonts w:hAnsi="宋体"/>
                <w:szCs w:val="21"/>
              </w:rPr>
            </w:pPr>
            <w:r>
              <w:rPr>
                <w:rFonts w:hint="eastAsia" w:hAnsi="宋体"/>
                <w:szCs w:val="21"/>
              </w:rPr>
              <w:t>任务来源</w:t>
            </w:r>
          </w:p>
          <w:p w14:paraId="40107B7B">
            <w:pPr>
              <w:pStyle w:val="4"/>
              <w:adjustRightInd w:val="0"/>
              <w:spacing w:line="360" w:lineRule="auto"/>
              <w:ind w:firstLine="0" w:firstLineChars="0"/>
              <w:contextualSpacing/>
              <w:jc w:val="center"/>
              <w:rPr>
                <w:rFonts w:hAnsi="宋体"/>
                <w:szCs w:val="21"/>
              </w:rPr>
            </w:pPr>
            <w:r>
              <w:rPr>
                <w:rFonts w:hint="eastAsia" w:hAnsi="宋体"/>
                <w:szCs w:val="21"/>
              </w:rPr>
              <w:t>（项目计划号）</w:t>
            </w:r>
          </w:p>
        </w:tc>
        <w:tc>
          <w:tcPr>
            <w:tcW w:w="7880" w:type="dxa"/>
            <w:gridSpan w:val="4"/>
            <w:vAlign w:val="center"/>
          </w:tcPr>
          <w:p w14:paraId="5E30FC12">
            <w:pPr>
              <w:pStyle w:val="4"/>
              <w:adjustRightInd w:val="0"/>
              <w:spacing w:line="360" w:lineRule="auto"/>
              <w:ind w:firstLine="0" w:firstLineChars="0"/>
              <w:contextualSpacing/>
              <w:rPr>
                <w:rFonts w:hint="default" w:hAnsi="宋体" w:eastAsia="宋体"/>
                <w:szCs w:val="21"/>
                <w:lang w:val="en-US" w:eastAsia="zh-CN"/>
              </w:rPr>
            </w:pPr>
            <w:r>
              <w:rPr>
                <w:rFonts w:hint="eastAsia" w:hAnsi="宋体"/>
                <w:szCs w:val="21"/>
              </w:rPr>
              <w:t>202</w:t>
            </w:r>
            <w:r>
              <w:rPr>
                <w:rFonts w:hint="eastAsia" w:hAnsi="宋体"/>
                <w:szCs w:val="21"/>
                <w:lang w:val="en-US" w:eastAsia="zh-CN"/>
              </w:rPr>
              <w:t>3</w:t>
            </w:r>
            <w:r>
              <w:rPr>
                <w:rFonts w:hint="eastAsia" w:hAnsi="宋体"/>
                <w:szCs w:val="21"/>
              </w:rPr>
              <w:t>-</w:t>
            </w:r>
            <w:r>
              <w:rPr>
                <w:rFonts w:hint="eastAsia" w:hAnsi="宋体"/>
                <w:szCs w:val="21"/>
                <w:lang w:val="en-US" w:eastAsia="zh-CN"/>
              </w:rPr>
              <w:t>3</w:t>
            </w:r>
            <w:r>
              <w:rPr>
                <w:rFonts w:hint="eastAsia" w:hAnsi="宋体"/>
                <w:szCs w:val="21"/>
              </w:rPr>
              <w:t>-</w:t>
            </w:r>
            <w:r>
              <w:rPr>
                <w:rFonts w:hint="eastAsia" w:hAnsi="宋体"/>
                <w:szCs w:val="21"/>
                <w:lang w:val="en-US" w:eastAsia="zh-CN"/>
              </w:rPr>
              <w:t>99</w:t>
            </w:r>
          </w:p>
        </w:tc>
      </w:tr>
      <w:tr w14:paraId="1AA11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1690" w:type="dxa"/>
            <w:gridSpan w:val="2"/>
            <w:vAlign w:val="center"/>
          </w:tcPr>
          <w:p w14:paraId="51D250F0">
            <w:pPr>
              <w:pStyle w:val="4"/>
              <w:adjustRightInd w:val="0"/>
              <w:spacing w:line="360" w:lineRule="auto"/>
              <w:ind w:firstLine="0" w:firstLineChars="0"/>
              <w:contextualSpacing/>
              <w:jc w:val="center"/>
              <w:rPr>
                <w:rFonts w:hAnsi="宋体"/>
                <w:szCs w:val="21"/>
              </w:rPr>
            </w:pPr>
            <w:r>
              <w:rPr>
                <w:rFonts w:hint="eastAsia" w:hAnsi="宋体"/>
                <w:szCs w:val="21"/>
              </w:rPr>
              <w:t>第一起草单位</w:t>
            </w:r>
          </w:p>
          <w:p w14:paraId="0DCB1520">
            <w:pPr>
              <w:pStyle w:val="4"/>
              <w:adjustRightInd w:val="0"/>
              <w:spacing w:line="360" w:lineRule="auto"/>
              <w:ind w:firstLine="0" w:firstLineChars="0"/>
              <w:contextualSpacing/>
              <w:jc w:val="center"/>
              <w:rPr>
                <w:rFonts w:hAnsi="宋体"/>
                <w:szCs w:val="21"/>
              </w:rPr>
            </w:pPr>
            <w:r>
              <w:rPr>
                <w:rFonts w:hint="eastAsia" w:hAnsi="宋体"/>
                <w:szCs w:val="21"/>
              </w:rPr>
              <w:t>（盖章）</w:t>
            </w:r>
          </w:p>
        </w:tc>
        <w:tc>
          <w:tcPr>
            <w:tcW w:w="7880" w:type="dxa"/>
            <w:gridSpan w:val="4"/>
            <w:vAlign w:val="center"/>
          </w:tcPr>
          <w:p w14:paraId="57FF030F">
            <w:pPr>
              <w:pStyle w:val="4"/>
              <w:adjustRightInd w:val="0"/>
              <w:spacing w:line="360" w:lineRule="auto"/>
              <w:ind w:firstLine="0" w:firstLineChars="0"/>
              <w:contextualSpacing/>
              <w:rPr>
                <w:rFonts w:hAnsi="宋体"/>
                <w:szCs w:val="21"/>
              </w:rPr>
            </w:pPr>
            <w:r>
              <w:rPr>
                <w:rFonts w:hint="eastAsia" w:hAnsi="宋体"/>
                <w:szCs w:val="21"/>
                <w:lang w:val="en-US" w:eastAsia="zh-CN"/>
              </w:rPr>
              <w:t>安徽省交通科学研究院</w:t>
            </w:r>
          </w:p>
        </w:tc>
      </w:tr>
      <w:tr w14:paraId="53E3D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1690" w:type="dxa"/>
            <w:gridSpan w:val="2"/>
            <w:vAlign w:val="center"/>
          </w:tcPr>
          <w:p w14:paraId="71670CCE">
            <w:pPr>
              <w:pStyle w:val="4"/>
              <w:adjustRightInd w:val="0"/>
              <w:spacing w:line="360" w:lineRule="auto"/>
              <w:ind w:firstLine="0" w:firstLineChars="0"/>
              <w:contextualSpacing/>
              <w:jc w:val="center"/>
              <w:rPr>
                <w:rFonts w:hAnsi="宋体"/>
                <w:szCs w:val="21"/>
              </w:rPr>
            </w:pPr>
            <w:r>
              <w:rPr>
                <w:rFonts w:hint="eastAsia" w:hAnsi="宋体"/>
                <w:szCs w:val="21"/>
              </w:rPr>
              <w:t>单位地址</w:t>
            </w:r>
          </w:p>
        </w:tc>
        <w:tc>
          <w:tcPr>
            <w:tcW w:w="7880" w:type="dxa"/>
            <w:gridSpan w:val="4"/>
            <w:vAlign w:val="center"/>
          </w:tcPr>
          <w:p w14:paraId="5CA5A5FC">
            <w:pPr>
              <w:pStyle w:val="4"/>
              <w:adjustRightInd w:val="0"/>
              <w:spacing w:line="360" w:lineRule="auto"/>
              <w:ind w:firstLine="0" w:firstLineChars="0"/>
              <w:contextualSpacing/>
              <w:rPr>
                <w:rFonts w:hAnsi="宋体"/>
                <w:szCs w:val="21"/>
              </w:rPr>
            </w:pPr>
            <w:r>
              <w:rPr>
                <w:rFonts w:hint="eastAsia" w:hAnsi="宋体"/>
                <w:szCs w:val="21"/>
              </w:rPr>
              <w:t>中国（安徽）自贸试验区合肥市高新区望江西路900号中安创谷科技园一期A4栋三层045号</w:t>
            </w:r>
          </w:p>
        </w:tc>
      </w:tr>
      <w:tr w14:paraId="7E8AA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0" w:type="dxa"/>
            <w:gridSpan w:val="2"/>
            <w:vAlign w:val="center"/>
          </w:tcPr>
          <w:p w14:paraId="5BD17198">
            <w:pPr>
              <w:pStyle w:val="4"/>
              <w:adjustRightInd w:val="0"/>
              <w:spacing w:line="360" w:lineRule="auto"/>
              <w:ind w:firstLine="0" w:firstLineChars="0"/>
              <w:contextualSpacing/>
              <w:jc w:val="center"/>
              <w:rPr>
                <w:rFonts w:hAnsi="宋体"/>
                <w:szCs w:val="21"/>
              </w:rPr>
            </w:pPr>
            <w:r>
              <w:rPr>
                <w:rFonts w:hint="eastAsia" w:hAnsi="宋体"/>
                <w:szCs w:val="21"/>
              </w:rPr>
              <w:t>参与起草单位</w:t>
            </w:r>
          </w:p>
        </w:tc>
        <w:tc>
          <w:tcPr>
            <w:tcW w:w="7880" w:type="dxa"/>
            <w:gridSpan w:val="4"/>
            <w:vAlign w:val="center"/>
          </w:tcPr>
          <w:p w14:paraId="0CFAF938">
            <w:pPr>
              <w:jc w:val="both"/>
              <w:rPr>
                <w:rFonts w:hint="eastAsia" w:hAnsi="宋体" w:eastAsia="宋体"/>
                <w:szCs w:val="21"/>
                <w:lang w:eastAsia="zh-CN"/>
              </w:rPr>
            </w:pPr>
            <w:r>
              <w:rPr>
                <w:rFonts w:hint="eastAsia" w:hAnsi="宋体"/>
                <w:sz w:val="20"/>
                <w:szCs w:val="20"/>
              </w:rPr>
              <w:t>安徽省港航集团有限公司</w:t>
            </w:r>
            <w:r>
              <w:rPr>
                <w:rFonts w:hint="eastAsia" w:hAnsi="宋体"/>
                <w:sz w:val="20"/>
                <w:szCs w:val="20"/>
                <w:lang w:eastAsia="zh-CN"/>
              </w:rPr>
              <w:t>、</w:t>
            </w:r>
            <w:r>
              <w:rPr>
                <w:rFonts w:hint="eastAsia" w:ascii="Times New Roman" w:hAnsi="Times New Roman"/>
                <w:sz w:val="21"/>
                <w:szCs w:val="21"/>
              </w:rPr>
              <w:t>安徽省港航建设投资集团有限公司</w:t>
            </w:r>
          </w:p>
        </w:tc>
      </w:tr>
      <w:tr w14:paraId="15E15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9570" w:type="dxa"/>
            <w:gridSpan w:val="6"/>
            <w:vAlign w:val="center"/>
          </w:tcPr>
          <w:p w14:paraId="425A4D2C">
            <w:pPr>
              <w:pStyle w:val="4"/>
              <w:adjustRightInd w:val="0"/>
              <w:spacing w:line="360" w:lineRule="auto"/>
              <w:ind w:firstLine="0" w:firstLineChars="0"/>
              <w:contextualSpacing/>
              <w:jc w:val="center"/>
              <w:rPr>
                <w:rFonts w:hAnsi="宋体"/>
                <w:szCs w:val="21"/>
              </w:rPr>
            </w:pPr>
            <w:r>
              <w:rPr>
                <w:rFonts w:hint="eastAsia" w:hAnsi="宋体"/>
                <w:szCs w:val="21"/>
              </w:rPr>
              <w:t>标准起草人</w:t>
            </w:r>
          </w:p>
          <w:p w14:paraId="12128E9F">
            <w:pPr>
              <w:pStyle w:val="4"/>
              <w:adjustRightInd w:val="0"/>
              <w:spacing w:line="360" w:lineRule="auto"/>
              <w:ind w:firstLine="0" w:firstLineChars="0"/>
              <w:contextualSpacing/>
              <w:jc w:val="center"/>
              <w:rPr>
                <w:rFonts w:hAnsi="宋体"/>
                <w:szCs w:val="21"/>
              </w:rPr>
            </w:pPr>
            <w:r>
              <w:rPr>
                <w:rFonts w:hint="eastAsia" w:hAnsi="宋体"/>
                <w:szCs w:val="21"/>
              </w:rPr>
              <w:t>（全部起草人，应与标准文本前言中起草人排序一致）</w:t>
            </w:r>
          </w:p>
        </w:tc>
      </w:tr>
      <w:tr w14:paraId="3B85E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1A368F9F">
            <w:pPr>
              <w:pStyle w:val="4"/>
              <w:adjustRightInd w:val="0"/>
              <w:spacing w:line="360" w:lineRule="auto"/>
              <w:ind w:firstLine="0" w:firstLineChars="0"/>
              <w:contextualSpacing/>
              <w:jc w:val="center"/>
              <w:rPr>
                <w:rFonts w:hAnsi="宋体"/>
                <w:szCs w:val="21"/>
              </w:rPr>
            </w:pPr>
            <w:r>
              <w:rPr>
                <w:rFonts w:hint="eastAsia" w:hAnsi="宋体"/>
                <w:szCs w:val="21"/>
              </w:rPr>
              <w:t>序号</w:t>
            </w:r>
          </w:p>
        </w:tc>
        <w:tc>
          <w:tcPr>
            <w:tcW w:w="996" w:type="dxa"/>
            <w:vAlign w:val="center"/>
          </w:tcPr>
          <w:p w14:paraId="0019C34B">
            <w:pPr>
              <w:pStyle w:val="4"/>
              <w:adjustRightInd w:val="0"/>
              <w:spacing w:line="360" w:lineRule="auto"/>
              <w:ind w:firstLine="0" w:firstLineChars="0"/>
              <w:contextualSpacing/>
              <w:jc w:val="center"/>
              <w:rPr>
                <w:rFonts w:hAnsi="宋体"/>
                <w:szCs w:val="21"/>
              </w:rPr>
            </w:pPr>
            <w:r>
              <w:rPr>
                <w:rFonts w:hint="eastAsia" w:hAnsi="宋体"/>
                <w:szCs w:val="21"/>
              </w:rPr>
              <w:t>姓名</w:t>
            </w:r>
          </w:p>
        </w:tc>
        <w:tc>
          <w:tcPr>
            <w:tcW w:w="3350" w:type="dxa"/>
            <w:vAlign w:val="center"/>
          </w:tcPr>
          <w:p w14:paraId="094B602D">
            <w:pPr>
              <w:pStyle w:val="4"/>
              <w:adjustRightInd w:val="0"/>
              <w:spacing w:line="360" w:lineRule="auto"/>
              <w:ind w:firstLine="0" w:firstLineChars="0"/>
              <w:contextualSpacing/>
              <w:jc w:val="center"/>
              <w:rPr>
                <w:rFonts w:hAnsi="宋体"/>
                <w:szCs w:val="21"/>
              </w:rPr>
            </w:pPr>
            <w:r>
              <w:rPr>
                <w:rFonts w:hint="eastAsia" w:hAnsi="宋体"/>
                <w:szCs w:val="21"/>
              </w:rPr>
              <w:t>单位</w:t>
            </w:r>
          </w:p>
        </w:tc>
        <w:tc>
          <w:tcPr>
            <w:tcW w:w="1619" w:type="dxa"/>
            <w:vAlign w:val="center"/>
          </w:tcPr>
          <w:p w14:paraId="3D6EA296">
            <w:pPr>
              <w:pStyle w:val="4"/>
              <w:adjustRightInd w:val="0"/>
              <w:spacing w:line="360" w:lineRule="auto"/>
              <w:ind w:firstLine="0" w:firstLineChars="0"/>
              <w:contextualSpacing/>
              <w:jc w:val="center"/>
              <w:rPr>
                <w:rFonts w:hAnsi="宋体"/>
                <w:szCs w:val="21"/>
              </w:rPr>
            </w:pPr>
            <w:r>
              <w:rPr>
                <w:rFonts w:hint="eastAsia" w:hAnsi="宋体"/>
                <w:szCs w:val="21"/>
              </w:rPr>
              <w:t>职务</w:t>
            </w:r>
          </w:p>
        </w:tc>
        <w:tc>
          <w:tcPr>
            <w:tcW w:w="1315" w:type="dxa"/>
            <w:vAlign w:val="center"/>
          </w:tcPr>
          <w:p w14:paraId="10E84CDD">
            <w:pPr>
              <w:pStyle w:val="4"/>
              <w:adjustRightInd w:val="0"/>
              <w:spacing w:line="360" w:lineRule="auto"/>
              <w:ind w:firstLine="0" w:firstLineChars="0"/>
              <w:contextualSpacing/>
              <w:jc w:val="center"/>
              <w:rPr>
                <w:rFonts w:hAnsi="宋体"/>
                <w:szCs w:val="21"/>
              </w:rPr>
            </w:pPr>
            <w:r>
              <w:rPr>
                <w:rFonts w:hint="eastAsia" w:hAnsi="宋体"/>
                <w:szCs w:val="21"/>
              </w:rPr>
              <w:t>职称</w:t>
            </w:r>
          </w:p>
        </w:tc>
        <w:tc>
          <w:tcPr>
            <w:tcW w:w="1596" w:type="dxa"/>
            <w:vAlign w:val="center"/>
          </w:tcPr>
          <w:p w14:paraId="75999BFB">
            <w:pPr>
              <w:pStyle w:val="4"/>
              <w:adjustRightInd w:val="0"/>
              <w:spacing w:line="360" w:lineRule="auto"/>
              <w:ind w:firstLine="0" w:firstLineChars="0"/>
              <w:contextualSpacing/>
              <w:jc w:val="center"/>
              <w:rPr>
                <w:rFonts w:hAnsi="宋体"/>
                <w:szCs w:val="21"/>
              </w:rPr>
            </w:pPr>
            <w:r>
              <w:rPr>
                <w:rFonts w:hint="eastAsia" w:hAnsi="宋体"/>
                <w:szCs w:val="21"/>
              </w:rPr>
              <w:t>电话</w:t>
            </w:r>
          </w:p>
        </w:tc>
      </w:tr>
      <w:tr w14:paraId="251D7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71CD7F7C">
            <w:pPr>
              <w:jc w:val="center"/>
              <w:rPr>
                <w:rFonts w:hAnsi="宋体"/>
                <w:sz w:val="21"/>
                <w:szCs w:val="21"/>
              </w:rPr>
            </w:pPr>
            <w:r>
              <w:rPr>
                <w:rFonts w:hint="eastAsia" w:ascii="Times New Roman" w:hAnsi="Times New Roman"/>
                <w:sz w:val="21"/>
                <w:szCs w:val="21"/>
                <w:lang w:val="en-US" w:eastAsia="zh-CN"/>
              </w:rPr>
              <w:t>1</w:t>
            </w:r>
          </w:p>
        </w:tc>
        <w:tc>
          <w:tcPr>
            <w:tcW w:w="996" w:type="dxa"/>
            <w:vAlign w:val="center"/>
          </w:tcPr>
          <w:p w14:paraId="2DA31D25">
            <w:pPr>
              <w:jc w:val="center"/>
              <w:rPr>
                <w:rFonts w:hAnsi="宋体"/>
                <w:sz w:val="21"/>
                <w:szCs w:val="21"/>
              </w:rPr>
            </w:pPr>
            <w:r>
              <w:rPr>
                <w:rFonts w:hint="eastAsia" w:ascii="Times New Roman" w:hAnsi="Times New Roman"/>
                <w:sz w:val="21"/>
                <w:szCs w:val="21"/>
                <w:lang w:val="en-US" w:eastAsia="zh-CN"/>
              </w:rPr>
              <w:t>邢伟</w:t>
            </w:r>
          </w:p>
        </w:tc>
        <w:tc>
          <w:tcPr>
            <w:tcW w:w="3350" w:type="dxa"/>
            <w:vAlign w:val="center"/>
          </w:tcPr>
          <w:p w14:paraId="2AFF6276">
            <w:pPr>
              <w:jc w:val="center"/>
              <w:rPr>
                <w:rFonts w:hAnsi="宋体"/>
                <w:sz w:val="21"/>
                <w:szCs w:val="21"/>
              </w:rPr>
            </w:pPr>
            <w:r>
              <w:rPr>
                <w:rFonts w:hint="eastAsia" w:ascii="Times New Roman" w:hAnsi="Times New Roman"/>
                <w:sz w:val="21"/>
                <w:szCs w:val="21"/>
                <w:lang w:val="en-US" w:eastAsia="zh-CN"/>
              </w:rPr>
              <w:t>安徽省交通科学研究院</w:t>
            </w:r>
          </w:p>
        </w:tc>
        <w:tc>
          <w:tcPr>
            <w:tcW w:w="1619" w:type="dxa"/>
            <w:vAlign w:val="center"/>
          </w:tcPr>
          <w:p w14:paraId="6D4AE311">
            <w:pPr>
              <w:jc w:val="center"/>
              <w:rPr>
                <w:rFonts w:hAnsi="宋体"/>
                <w:sz w:val="21"/>
                <w:szCs w:val="21"/>
              </w:rPr>
            </w:pPr>
            <w:r>
              <w:rPr>
                <w:rFonts w:hint="eastAsia" w:ascii="Times New Roman" w:hAnsi="Times New Roman"/>
                <w:sz w:val="21"/>
                <w:szCs w:val="21"/>
                <w:lang w:val="en-US" w:eastAsia="zh-CN"/>
              </w:rPr>
              <w:t>信息所所长</w:t>
            </w:r>
          </w:p>
        </w:tc>
        <w:tc>
          <w:tcPr>
            <w:tcW w:w="1315" w:type="dxa"/>
            <w:vAlign w:val="center"/>
          </w:tcPr>
          <w:p w14:paraId="687389A4">
            <w:pPr>
              <w:jc w:val="center"/>
              <w:rPr>
                <w:rFonts w:hAnsi="宋体"/>
                <w:sz w:val="21"/>
                <w:szCs w:val="21"/>
              </w:rPr>
            </w:pPr>
            <w:r>
              <w:rPr>
                <w:rFonts w:hint="eastAsia" w:ascii="Times New Roman" w:hAnsi="Times New Roman"/>
                <w:sz w:val="21"/>
                <w:szCs w:val="21"/>
                <w:lang w:val="en-US" w:eastAsia="zh-CN"/>
              </w:rPr>
              <w:t>高级工程师</w:t>
            </w:r>
          </w:p>
        </w:tc>
        <w:tc>
          <w:tcPr>
            <w:tcW w:w="1596" w:type="dxa"/>
            <w:vAlign w:val="center"/>
          </w:tcPr>
          <w:p w14:paraId="76B8CC5B">
            <w:pPr>
              <w:jc w:val="center"/>
              <w:rPr>
                <w:rFonts w:hAnsi="宋体"/>
                <w:sz w:val="21"/>
                <w:szCs w:val="21"/>
              </w:rPr>
            </w:pPr>
            <w:r>
              <w:rPr>
                <w:rFonts w:hint="eastAsia" w:ascii="Times New Roman" w:hAnsi="Times New Roman"/>
                <w:sz w:val="21"/>
                <w:szCs w:val="21"/>
              </w:rPr>
              <w:t>13695654225</w:t>
            </w:r>
          </w:p>
        </w:tc>
      </w:tr>
      <w:tr w14:paraId="7B8CF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3DA89766">
            <w:pPr>
              <w:jc w:val="center"/>
              <w:rPr>
                <w:rFonts w:hAnsi="宋体"/>
                <w:sz w:val="21"/>
                <w:szCs w:val="21"/>
              </w:rPr>
            </w:pPr>
            <w:r>
              <w:rPr>
                <w:rFonts w:hint="eastAsia" w:ascii="Times New Roman" w:hAnsi="Times New Roman"/>
                <w:sz w:val="21"/>
                <w:szCs w:val="21"/>
                <w:lang w:val="en-US" w:eastAsia="zh-CN"/>
              </w:rPr>
              <w:t>2</w:t>
            </w:r>
          </w:p>
        </w:tc>
        <w:tc>
          <w:tcPr>
            <w:tcW w:w="996" w:type="dxa"/>
            <w:vAlign w:val="center"/>
          </w:tcPr>
          <w:p w14:paraId="491CA8CE">
            <w:pPr>
              <w:jc w:val="center"/>
              <w:rPr>
                <w:rFonts w:hAnsi="宋体"/>
                <w:sz w:val="21"/>
                <w:szCs w:val="21"/>
              </w:rPr>
            </w:pPr>
            <w:r>
              <w:rPr>
                <w:rFonts w:hint="eastAsia" w:ascii="Times New Roman" w:hAnsi="Times New Roman"/>
                <w:sz w:val="21"/>
                <w:szCs w:val="21"/>
                <w:lang w:val="en-US" w:eastAsia="zh-CN"/>
              </w:rPr>
              <w:t>高俊韬</w:t>
            </w:r>
          </w:p>
        </w:tc>
        <w:tc>
          <w:tcPr>
            <w:tcW w:w="3350" w:type="dxa"/>
            <w:vAlign w:val="center"/>
          </w:tcPr>
          <w:p w14:paraId="4775EC96">
            <w:pPr>
              <w:jc w:val="center"/>
              <w:rPr>
                <w:rFonts w:hAnsi="宋体"/>
                <w:sz w:val="21"/>
                <w:szCs w:val="21"/>
              </w:rPr>
            </w:pPr>
            <w:r>
              <w:rPr>
                <w:rFonts w:hint="eastAsia" w:ascii="Times New Roman" w:hAnsi="Times New Roman"/>
                <w:sz w:val="21"/>
                <w:szCs w:val="21"/>
                <w:lang w:val="en-US" w:eastAsia="zh-CN"/>
              </w:rPr>
              <w:t>安徽省交通科学研究院</w:t>
            </w:r>
          </w:p>
        </w:tc>
        <w:tc>
          <w:tcPr>
            <w:tcW w:w="1619" w:type="dxa"/>
            <w:vAlign w:val="center"/>
          </w:tcPr>
          <w:p w14:paraId="633DADB9">
            <w:pPr>
              <w:jc w:val="center"/>
              <w:rPr>
                <w:rFonts w:hAnsi="宋体"/>
                <w:sz w:val="21"/>
                <w:szCs w:val="21"/>
              </w:rPr>
            </w:pPr>
            <w:r>
              <w:rPr>
                <w:rFonts w:hint="eastAsia" w:ascii="Times New Roman" w:hAnsi="Times New Roman"/>
                <w:sz w:val="21"/>
                <w:szCs w:val="21"/>
                <w:lang w:val="en-US" w:eastAsia="zh-CN"/>
              </w:rPr>
              <w:t>副院长</w:t>
            </w:r>
          </w:p>
        </w:tc>
        <w:tc>
          <w:tcPr>
            <w:tcW w:w="1315" w:type="dxa"/>
            <w:vAlign w:val="center"/>
          </w:tcPr>
          <w:p w14:paraId="51DC56FF">
            <w:pPr>
              <w:jc w:val="center"/>
              <w:rPr>
                <w:rFonts w:hAnsi="宋体"/>
                <w:sz w:val="21"/>
                <w:szCs w:val="21"/>
              </w:rPr>
            </w:pPr>
            <w:r>
              <w:rPr>
                <w:rFonts w:hint="eastAsia" w:ascii="Times New Roman" w:hAnsi="Times New Roman"/>
                <w:sz w:val="21"/>
                <w:szCs w:val="21"/>
                <w:highlight w:val="none"/>
                <w:lang w:val="en-US" w:eastAsia="zh-CN"/>
              </w:rPr>
              <w:t>高级工程师</w:t>
            </w:r>
          </w:p>
        </w:tc>
        <w:tc>
          <w:tcPr>
            <w:tcW w:w="1596" w:type="dxa"/>
            <w:vAlign w:val="center"/>
          </w:tcPr>
          <w:p w14:paraId="02542309">
            <w:pPr>
              <w:jc w:val="center"/>
              <w:rPr>
                <w:rFonts w:hAnsi="宋体"/>
                <w:sz w:val="21"/>
                <w:szCs w:val="21"/>
              </w:rPr>
            </w:pPr>
            <w:r>
              <w:rPr>
                <w:rFonts w:hint="eastAsia" w:ascii="Times New Roman" w:hAnsi="Times New Roman"/>
                <w:sz w:val="21"/>
                <w:szCs w:val="21"/>
              </w:rPr>
              <w:t>13855136577</w:t>
            </w:r>
          </w:p>
        </w:tc>
      </w:tr>
      <w:tr w14:paraId="4BFFE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94" w:type="dxa"/>
            <w:vAlign w:val="center"/>
          </w:tcPr>
          <w:p w14:paraId="0CC5ED9E">
            <w:pPr>
              <w:jc w:val="center"/>
              <w:rPr>
                <w:rFonts w:hAnsi="宋体"/>
                <w:sz w:val="21"/>
                <w:szCs w:val="21"/>
              </w:rPr>
            </w:pPr>
            <w:r>
              <w:rPr>
                <w:rFonts w:hint="eastAsia" w:ascii="Times New Roman" w:hAnsi="Times New Roman"/>
                <w:sz w:val="21"/>
                <w:szCs w:val="21"/>
                <w:lang w:val="en-US" w:eastAsia="zh-CN"/>
              </w:rPr>
              <w:t>3</w:t>
            </w:r>
          </w:p>
        </w:tc>
        <w:tc>
          <w:tcPr>
            <w:tcW w:w="996" w:type="dxa"/>
            <w:vAlign w:val="center"/>
          </w:tcPr>
          <w:p w14:paraId="52673165">
            <w:pPr>
              <w:jc w:val="center"/>
              <w:rPr>
                <w:rFonts w:hAnsi="宋体"/>
                <w:sz w:val="21"/>
                <w:szCs w:val="21"/>
              </w:rPr>
            </w:pPr>
            <w:r>
              <w:rPr>
                <w:rFonts w:hint="eastAsia" w:ascii="Times New Roman" w:hAnsi="Times New Roman"/>
                <w:sz w:val="21"/>
                <w:szCs w:val="21"/>
                <w:lang w:val="en-US" w:eastAsia="zh-CN"/>
              </w:rPr>
              <w:t>万云刚</w:t>
            </w:r>
          </w:p>
        </w:tc>
        <w:tc>
          <w:tcPr>
            <w:tcW w:w="3350" w:type="dxa"/>
            <w:vAlign w:val="center"/>
          </w:tcPr>
          <w:p w14:paraId="2156297A">
            <w:pPr>
              <w:jc w:val="center"/>
              <w:rPr>
                <w:rFonts w:hint="eastAsia" w:ascii="Times New Roman" w:hAnsi="Times New Roman"/>
                <w:sz w:val="21"/>
                <w:szCs w:val="21"/>
              </w:rPr>
            </w:pPr>
            <w:r>
              <w:rPr>
                <w:rFonts w:hint="eastAsia" w:ascii="Times New Roman" w:hAnsi="Times New Roman"/>
                <w:sz w:val="21"/>
                <w:szCs w:val="21"/>
              </w:rPr>
              <w:t>安徽省港航建设投资集团</w:t>
            </w:r>
          </w:p>
          <w:p w14:paraId="72B1ECB1">
            <w:pPr>
              <w:jc w:val="center"/>
              <w:rPr>
                <w:rFonts w:hAnsi="宋体"/>
                <w:sz w:val="21"/>
                <w:szCs w:val="21"/>
              </w:rPr>
            </w:pPr>
            <w:r>
              <w:rPr>
                <w:rFonts w:hint="eastAsia" w:ascii="Times New Roman" w:hAnsi="Times New Roman"/>
                <w:sz w:val="21"/>
                <w:szCs w:val="21"/>
              </w:rPr>
              <w:t>有限公司</w:t>
            </w:r>
          </w:p>
        </w:tc>
        <w:tc>
          <w:tcPr>
            <w:tcW w:w="1619" w:type="dxa"/>
            <w:vAlign w:val="center"/>
          </w:tcPr>
          <w:p w14:paraId="3529CF42">
            <w:pPr>
              <w:jc w:val="center"/>
              <w:rPr>
                <w:rFonts w:hAnsi="宋体"/>
                <w:sz w:val="21"/>
                <w:szCs w:val="21"/>
              </w:rPr>
            </w:pPr>
            <w:r>
              <w:rPr>
                <w:rFonts w:hint="eastAsia" w:ascii="Times New Roman" w:hAnsi="Times New Roman"/>
                <w:sz w:val="21"/>
                <w:szCs w:val="21"/>
                <w:lang w:val="en-US" w:eastAsia="zh-CN"/>
              </w:rPr>
              <w:t>部长</w:t>
            </w:r>
          </w:p>
        </w:tc>
        <w:tc>
          <w:tcPr>
            <w:tcW w:w="1315" w:type="dxa"/>
            <w:vAlign w:val="center"/>
          </w:tcPr>
          <w:p w14:paraId="252C35D9">
            <w:pPr>
              <w:jc w:val="center"/>
              <w:rPr>
                <w:rFonts w:hAnsi="宋体"/>
                <w:sz w:val="21"/>
                <w:szCs w:val="21"/>
              </w:rPr>
            </w:pPr>
            <w:r>
              <w:rPr>
                <w:rFonts w:hint="eastAsia" w:ascii="Times New Roman" w:hAnsi="Times New Roman"/>
                <w:sz w:val="21"/>
                <w:szCs w:val="21"/>
                <w:lang w:val="en-US" w:eastAsia="zh-CN"/>
              </w:rPr>
              <w:t>高级工程师</w:t>
            </w:r>
          </w:p>
        </w:tc>
        <w:tc>
          <w:tcPr>
            <w:tcW w:w="1596" w:type="dxa"/>
            <w:vAlign w:val="center"/>
          </w:tcPr>
          <w:p w14:paraId="5F98553E">
            <w:pPr>
              <w:jc w:val="center"/>
              <w:rPr>
                <w:rFonts w:hAnsi="宋体"/>
                <w:sz w:val="21"/>
                <w:szCs w:val="21"/>
              </w:rPr>
            </w:pPr>
            <w:r>
              <w:rPr>
                <w:rFonts w:hint="eastAsia" w:ascii="Times New Roman" w:hAnsi="Times New Roman"/>
                <w:sz w:val="21"/>
                <w:szCs w:val="21"/>
                <w:lang w:val="en-US" w:eastAsia="zh-CN"/>
              </w:rPr>
              <w:t>13856089728</w:t>
            </w:r>
          </w:p>
        </w:tc>
      </w:tr>
      <w:tr w14:paraId="408EB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1FE0D47B">
            <w:pPr>
              <w:jc w:val="center"/>
              <w:rPr>
                <w:rFonts w:hAnsi="宋体"/>
                <w:sz w:val="21"/>
                <w:szCs w:val="21"/>
              </w:rPr>
            </w:pPr>
            <w:r>
              <w:rPr>
                <w:rFonts w:hint="eastAsia" w:ascii="Times New Roman" w:hAnsi="Times New Roman"/>
                <w:sz w:val="21"/>
                <w:szCs w:val="21"/>
                <w:lang w:val="en-US" w:eastAsia="zh-CN"/>
              </w:rPr>
              <w:t>4</w:t>
            </w:r>
          </w:p>
        </w:tc>
        <w:tc>
          <w:tcPr>
            <w:tcW w:w="996" w:type="dxa"/>
            <w:vAlign w:val="center"/>
          </w:tcPr>
          <w:p w14:paraId="72727FEC">
            <w:pPr>
              <w:jc w:val="center"/>
              <w:rPr>
                <w:rFonts w:hAnsi="宋体"/>
                <w:sz w:val="21"/>
                <w:szCs w:val="21"/>
              </w:rPr>
            </w:pPr>
            <w:r>
              <w:rPr>
                <w:rFonts w:hint="eastAsia" w:ascii="Times New Roman" w:hAnsi="Times New Roman"/>
                <w:sz w:val="21"/>
                <w:szCs w:val="21"/>
                <w:lang w:val="en-US" w:eastAsia="zh-CN"/>
              </w:rPr>
              <w:t>蔡灏</w:t>
            </w:r>
          </w:p>
        </w:tc>
        <w:tc>
          <w:tcPr>
            <w:tcW w:w="3350" w:type="dxa"/>
            <w:vAlign w:val="center"/>
          </w:tcPr>
          <w:p w14:paraId="0FAC46BA">
            <w:pPr>
              <w:jc w:val="center"/>
              <w:rPr>
                <w:rFonts w:hAnsi="宋体"/>
                <w:sz w:val="21"/>
                <w:szCs w:val="21"/>
              </w:rPr>
            </w:pPr>
            <w:r>
              <w:rPr>
                <w:rFonts w:hint="eastAsia" w:ascii="Times New Roman" w:hAnsi="Times New Roman"/>
                <w:sz w:val="21"/>
                <w:szCs w:val="21"/>
                <w:lang w:val="en-US" w:eastAsia="zh-CN"/>
              </w:rPr>
              <w:t>安徽省交通科学研究院</w:t>
            </w:r>
          </w:p>
        </w:tc>
        <w:tc>
          <w:tcPr>
            <w:tcW w:w="1619" w:type="dxa"/>
            <w:vAlign w:val="center"/>
          </w:tcPr>
          <w:p w14:paraId="43809AA2">
            <w:pPr>
              <w:jc w:val="center"/>
              <w:rPr>
                <w:rFonts w:hAnsi="宋体"/>
                <w:sz w:val="21"/>
                <w:szCs w:val="21"/>
              </w:rPr>
            </w:pPr>
            <w:r>
              <w:rPr>
                <w:rFonts w:hint="eastAsia" w:ascii="Times New Roman" w:hAnsi="Times New Roman"/>
                <w:sz w:val="21"/>
                <w:szCs w:val="21"/>
                <w:lang w:val="en-US" w:eastAsia="zh-CN"/>
              </w:rPr>
              <w:t>副主任工程师</w:t>
            </w:r>
          </w:p>
        </w:tc>
        <w:tc>
          <w:tcPr>
            <w:tcW w:w="1315" w:type="dxa"/>
            <w:vAlign w:val="center"/>
          </w:tcPr>
          <w:p w14:paraId="42C159C3">
            <w:pPr>
              <w:jc w:val="center"/>
              <w:rPr>
                <w:rFonts w:hAnsi="宋体"/>
                <w:sz w:val="21"/>
                <w:szCs w:val="21"/>
              </w:rPr>
            </w:pPr>
            <w:r>
              <w:rPr>
                <w:rFonts w:hint="eastAsia" w:ascii="Times New Roman" w:hAnsi="Times New Roman"/>
                <w:sz w:val="21"/>
                <w:szCs w:val="21"/>
                <w:lang w:val="en-US" w:eastAsia="zh-CN"/>
              </w:rPr>
              <w:t>工程师</w:t>
            </w:r>
          </w:p>
        </w:tc>
        <w:tc>
          <w:tcPr>
            <w:tcW w:w="1596" w:type="dxa"/>
            <w:vAlign w:val="center"/>
          </w:tcPr>
          <w:p w14:paraId="6ACB8871">
            <w:pPr>
              <w:jc w:val="center"/>
              <w:rPr>
                <w:rFonts w:hAnsi="宋体"/>
                <w:sz w:val="21"/>
                <w:szCs w:val="21"/>
              </w:rPr>
            </w:pPr>
            <w:r>
              <w:rPr>
                <w:rFonts w:hint="eastAsia" w:ascii="Times New Roman" w:hAnsi="Times New Roman"/>
                <w:sz w:val="21"/>
                <w:szCs w:val="21"/>
                <w:lang w:val="en-US" w:eastAsia="zh-CN"/>
              </w:rPr>
              <w:t>15375296192</w:t>
            </w:r>
          </w:p>
        </w:tc>
      </w:tr>
      <w:tr w14:paraId="00DF6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0860FB18">
            <w:pPr>
              <w:jc w:val="center"/>
              <w:rPr>
                <w:rFonts w:hAnsi="宋体"/>
                <w:sz w:val="21"/>
                <w:szCs w:val="21"/>
              </w:rPr>
            </w:pPr>
            <w:r>
              <w:rPr>
                <w:rFonts w:hint="eastAsia" w:ascii="Times New Roman" w:hAnsi="Times New Roman"/>
                <w:sz w:val="21"/>
                <w:szCs w:val="21"/>
                <w:lang w:val="en-US" w:eastAsia="zh-CN"/>
              </w:rPr>
              <w:t>5</w:t>
            </w:r>
          </w:p>
        </w:tc>
        <w:tc>
          <w:tcPr>
            <w:tcW w:w="996" w:type="dxa"/>
            <w:vAlign w:val="center"/>
          </w:tcPr>
          <w:p w14:paraId="3130F107">
            <w:pPr>
              <w:jc w:val="center"/>
              <w:rPr>
                <w:rFonts w:hint="default" w:hAnsi="宋体"/>
                <w:sz w:val="21"/>
                <w:szCs w:val="21"/>
                <w:lang w:val="en-US"/>
              </w:rPr>
            </w:pPr>
            <w:r>
              <w:rPr>
                <w:rFonts w:hint="eastAsia" w:ascii="Times New Roman" w:hAnsi="Times New Roman"/>
                <w:sz w:val="21"/>
                <w:szCs w:val="21"/>
                <w:lang w:val="en-US" w:eastAsia="zh-CN"/>
              </w:rPr>
              <w:t>韩朋</w:t>
            </w:r>
          </w:p>
        </w:tc>
        <w:tc>
          <w:tcPr>
            <w:tcW w:w="3350" w:type="dxa"/>
            <w:vAlign w:val="center"/>
          </w:tcPr>
          <w:p w14:paraId="4E6BAE5E">
            <w:pPr>
              <w:jc w:val="center"/>
              <w:rPr>
                <w:rFonts w:hAnsi="宋体"/>
                <w:sz w:val="21"/>
                <w:szCs w:val="21"/>
              </w:rPr>
            </w:pPr>
            <w:r>
              <w:rPr>
                <w:rFonts w:hint="eastAsia" w:ascii="Times New Roman" w:hAnsi="Times New Roman"/>
                <w:sz w:val="21"/>
                <w:szCs w:val="21"/>
                <w:lang w:val="en-US" w:eastAsia="zh-CN"/>
              </w:rPr>
              <w:t>安徽省交通科学研究院</w:t>
            </w:r>
          </w:p>
        </w:tc>
        <w:tc>
          <w:tcPr>
            <w:tcW w:w="1619" w:type="dxa"/>
            <w:vAlign w:val="center"/>
          </w:tcPr>
          <w:p w14:paraId="541B9822">
            <w:pPr>
              <w:jc w:val="center"/>
              <w:rPr>
                <w:rFonts w:hAnsi="宋体"/>
                <w:sz w:val="21"/>
                <w:szCs w:val="21"/>
              </w:rPr>
            </w:pPr>
            <w:r>
              <w:rPr>
                <w:rFonts w:hint="eastAsia" w:ascii="Times New Roman" w:hAnsi="Times New Roman"/>
                <w:sz w:val="21"/>
                <w:szCs w:val="21"/>
                <w:lang w:val="en-US" w:eastAsia="zh-CN"/>
              </w:rPr>
              <w:t>副院长</w:t>
            </w:r>
          </w:p>
        </w:tc>
        <w:tc>
          <w:tcPr>
            <w:tcW w:w="1315" w:type="dxa"/>
            <w:vAlign w:val="center"/>
          </w:tcPr>
          <w:p w14:paraId="2400FB48">
            <w:pPr>
              <w:jc w:val="center"/>
              <w:rPr>
                <w:rFonts w:hAnsi="宋体"/>
                <w:sz w:val="21"/>
                <w:szCs w:val="21"/>
              </w:rPr>
            </w:pPr>
            <w:r>
              <w:rPr>
                <w:rFonts w:hint="eastAsia" w:ascii="Times New Roman" w:hAnsi="Times New Roman"/>
                <w:sz w:val="21"/>
                <w:szCs w:val="21"/>
                <w:lang w:val="en-US" w:eastAsia="zh-CN"/>
              </w:rPr>
              <w:t>高级工程师</w:t>
            </w:r>
          </w:p>
        </w:tc>
        <w:tc>
          <w:tcPr>
            <w:tcW w:w="1596" w:type="dxa"/>
            <w:vAlign w:val="center"/>
          </w:tcPr>
          <w:p w14:paraId="09183FB1">
            <w:pPr>
              <w:jc w:val="center"/>
              <w:rPr>
                <w:rFonts w:hAnsi="宋体"/>
                <w:sz w:val="21"/>
                <w:szCs w:val="21"/>
              </w:rPr>
            </w:pPr>
            <w:r>
              <w:rPr>
                <w:rFonts w:hint="eastAsia" w:ascii="Times New Roman" w:hAnsi="Times New Roman"/>
                <w:sz w:val="21"/>
                <w:szCs w:val="21"/>
                <w:lang w:val="en-US" w:eastAsia="zh-CN"/>
              </w:rPr>
              <w:t>18656553317</w:t>
            </w:r>
          </w:p>
        </w:tc>
      </w:tr>
      <w:tr w14:paraId="48703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0CFDCC80">
            <w:pPr>
              <w:jc w:val="center"/>
              <w:rPr>
                <w:rFonts w:hAnsi="宋体"/>
                <w:sz w:val="21"/>
                <w:szCs w:val="21"/>
              </w:rPr>
            </w:pPr>
            <w:r>
              <w:rPr>
                <w:rFonts w:hint="eastAsia" w:ascii="Times New Roman" w:hAnsi="Times New Roman"/>
                <w:sz w:val="21"/>
                <w:szCs w:val="21"/>
                <w:lang w:val="en-US" w:eastAsia="zh-CN"/>
              </w:rPr>
              <w:t>6</w:t>
            </w:r>
          </w:p>
        </w:tc>
        <w:tc>
          <w:tcPr>
            <w:tcW w:w="996" w:type="dxa"/>
            <w:vAlign w:val="center"/>
          </w:tcPr>
          <w:p w14:paraId="3F8E9316">
            <w:pPr>
              <w:jc w:val="center"/>
              <w:rPr>
                <w:rFonts w:hAnsi="宋体"/>
                <w:sz w:val="21"/>
                <w:szCs w:val="21"/>
              </w:rPr>
            </w:pPr>
            <w:r>
              <w:rPr>
                <w:rFonts w:hint="eastAsia" w:ascii="Times New Roman" w:hAnsi="Times New Roman"/>
                <w:sz w:val="21"/>
                <w:szCs w:val="21"/>
                <w:lang w:val="en-US" w:eastAsia="zh-CN"/>
              </w:rPr>
              <w:t>胡一恒</w:t>
            </w:r>
          </w:p>
        </w:tc>
        <w:tc>
          <w:tcPr>
            <w:tcW w:w="3350" w:type="dxa"/>
            <w:vAlign w:val="center"/>
          </w:tcPr>
          <w:p w14:paraId="5F7795E3">
            <w:pPr>
              <w:jc w:val="center"/>
              <w:rPr>
                <w:rFonts w:hAnsi="宋体"/>
                <w:sz w:val="21"/>
                <w:szCs w:val="21"/>
              </w:rPr>
            </w:pPr>
            <w:r>
              <w:rPr>
                <w:rFonts w:hint="eastAsia" w:ascii="Times New Roman" w:hAnsi="Times New Roman"/>
                <w:sz w:val="21"/>
                <w:szCs w:val="21"/>
                <w:lang w:val="en-US" w:eastAsia="zh-CN"/>
              </w:rPr>
              <w:t>安徽省港航集团有限公司</w:t>
            </w:r>
          </w:p>
        </w:tc>
        <w:tc>
          <w:tcPr>
            <w:tcW w:w="1619" w:type="dxa"/>
            <w:vAlign w:val="center"/>
          </w:tcPr>
          <w:p w14:paraId="4C6FC95D">
            <w:pPr>
              <w:jc w:val="center"/>
              <w:rPr>
                <w:rFonts w:hAnsi="宋体"/>
                <w:sz w:val="21"/>
                <w:szCs w:val="21"/>
              </w:rPr>
            </w:pPr>
            <w:r>
              <w:rPr>
                <w:rFonts w:hint="eastAsia" w:ascii="Times New Roman" w:hAnsi="Times New Roman"/>
                <w:sz w:val="21"/>
                <w:szCs w:val="21"/>
                <w:lang w:val="en-US" w:eastAsia="zh-CN"/>
              </w:rPr>
              <w:t>高级主管</w:t>
            </w:r>
          </w:p>
        </w:tc>
        <w:tc>
          <w:tcPr>
            <w:tcW w:w="1315" w:type="dxa"/>
            <w:vAlign w:val="center"/>
          </w:tcPr>
          <w:p w14:paraId="182B20D4">
            <w:pPr>
              <w:jc w:val="center"/>
              <w:rPr>
                <w:rFonts w:hAnsi="宋体"/>
                <w:sz w:val="21"/>
                <w:szCs w:val="21"/>
              </w:rPr>
            </w:pPr>
            <w:r>
              <w:rPr>
                <w:rFonts w:hint="eastAsia" w:ascii="Times New Roman" w:hAnsi="Times New Roman"/>
                <w:sz w:val="21"/>
                <w:szCs w:val="21"/>
                <w:lang w:val="en-US" w:eastAsia="zh-CN"/>
              </w:rPr>
              <w:t>高级工程师</w:t>
            </w:r>
          </w:p>
        </w:tc>
        <w:tc>
          <w:tcPr>
            <w:tcW w:w="1596" w:type="dxa"/>
            <w:vAlign w:val="center"/>
          </w:tcPr>
          <w:p w14:paraId="78BF3264">
            <w:pPr>
              <w:jc w:val="center"/>
              <w:rPr>
                <w:rFonts w:hAnsi="宋体"/>
                <w:sz w:val="21"/>
                <w:szCs w:val="21"/>
              </w:rPr>
            </w:pPr>
            <w:r>
              <w:rPr>
                <w:rFonts w:hint="eastAsia" w:ascii="Times New Roman" w:hAnsi="Times New Roman"/>
                <w:sz w:val="21"/>
                <w:szCs w:val="21"/>
              </w:rPr>
              <w:t>17755158851</w:t>
            </w:r>
          </w:p>
        </w:tc>
      </w:tr>
      <w:tr w14:paraId="7F2C3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070B06E9">
            <w:pPr>
              <w:jc w:val="center"/>
              <w:rPr>
                <w:rFonts w:hAnsi="宋体"/>
                <w:sz w:val="21"/>
                <w:szCs w:val="21"/>
              </w:rPr>
            </w:pPr>
            <w:r>
              <w:rPr>
                <w:rFonts w:hint="eastAsia" w:ascii="Times New Roman" w:hAnsi="Times New Roman"/>
                <w:sz w:val="21"/>
                <w:szCs w:val="21"/>
                <w:lang w:val="en-US" w:eastAsia="zh-CN"/>
              </w:rPr>
              <w:t>7</w:t>
            </w:r>
          </w:p>
        </w:tc>
        <w:tc>
          <w:tcPr>
            <w:tcW w:w="996" w:type="dxa"/>
            <w:vAlign w:val="center"/>
          </w:tcPr>
          <w:p w14:paraId="52F9B22B">
            <w:pPr>
              <w:jc w:val="center"/>
              <w:rPr>
                <w:rFonts w:hAnsi="宋体"/>
                <w:sz w:val="21"/>
                <w:szCs w:val="21"/>
              </w:rPr>
            </w:pPr>
            <w:r>
              <w:rPr>
                <w:rFonts w:hint="eastAsia" w:ascii="Times New Roman" w:hAnsi="Times New Roman"/>
                <w:sz w:val="21"/>
                <w:szCs w:val="21"/>
                <w:lang w:val="en-US" w:eastAsia="zh-CN"/>
              </w:rPr>
              <w:t>李潜</w:t>
            </w:r>
          </w:p>
        </w:tc>
        <w:tc>
          <w:tcPr>
            <w:tcW w:w="3350" w:type="dxa"/>
            <w:vAlign w:val="center"/>
          </w:tcPr>
          <w:p w14:paraId="64EDB7F6">
            <w:pPr>
              <w:jc w:val="center"/>
              <w:rPr>
                <w:rFonts w:hAnsi="宋体"/>
                <w:sz w:val="21"/>
                <w:szCs w:val="21"/>
              </w:rPr>
            </w:pPr>
            <w:r>
              <w:rPr>
                <w:rFonts w:hint="eastAsia" w:ascii="Times New Roman" w:hAnsi="Times New Roman"/>
                <w:sz w:val="21"/>
                <w:szCs w:val="21"/>
                <w:lang w:val="en-US" w:eastAsia="zh-CN"/>
              </w:rPr>
              <w:t>安徽省港航集团有限公司</w:t>
            </w:r>
          </w:p>
        </w:tc>
        <w:tc>
          <w:tcPr>
            <w:tcW w:w="1619" w:type="dxa"/>
            <w:vAlign w:val="center"/>
          </w:tcPr>
          <w:p w14:paraId="4F251F04">
            <w:pPr>
              <w:jc w:val="center"/>
              <w:rPr>
                <w:rFonts w:hAnsi="宋体"/>
                <w:sz w:val="21"/>
                <w:szCs w:val="21"/>
              </w:rPr>
            </w:pPr>
            <w:r>
              <w:rPr>
                <w:rFonts w:hint="eastAsia" w:ascii="Times New Roman" w:hAnsi="Times New Roman"/>
                <w:sz w:val="21"/>
                <w:szCs w:val="21"/>
                <w:lang w:val="en-US" w:eastAsia="zh-CN"/>
              </w:rPr>
              <w:t>主管</w:t>
            </w:r>
          </w:p>
        </w:tc>
        <w:tc>
          <w:tcPr>
            <w:tcW w:w="1315" w:type="dxa"/>
            <w:vAlign w:val="center"/>
          </w:tcPr>
          <w:p w14:paraId="6A24546C">
            <w:pPr>
              <w:jc w:val="center"/>
              <w:rPr>
                <w:rFonts w:hAnsi="宋体"/>
                <w:sz w:val="21"/>
                <w:szCs w:val="21"/>
              </w:rPr>
            </w:pPr>
            <w:r>
              <w:rPr>
                <w:rFonts w:hint="eastAsia" w:ascii="Times New Roman" w:hAnsi="Times New Roman"/>
                <w:sz w:val="21"/>
                <w:szCs w:val="21"/>
                <w:lang w:val="en-US" w:eastAsia="zh-CN"/>
              </w:rPr>
              <w:t>助理工程师</w:t>
            </w:r>
          </w:p>
        </w:tc>
        <w:tc>
          <w:tcPr>
            <w:tcW w:w="1596" w:type="dxa"/>
            <w:vAlign w:val="center"/>
          </w:tcPr>
          <w:p w14:paraId="3B4A7FC7">
            <w:pPr>
              <w:jc w:val="center"/>
              <w:rPr>
                <w:rFonts w:hAnsi="宋体"/>
                <w:sz w:val="21"/>
                <w:szCs w:val="21"/>
              </w:rPr>
            </w:pPr>
            <w:r>
              <w:rPr>
                <w:rFonts w:hint="eastAsia" w:ascii="Times New Roman" w:hAnsi="Times New Roman"/>
                <w:sz w:val="21"/>
                <w:szCs w:val="21"/>
              </w:rPr>
              <w:t>18955886951</w:t>
            </w:r>
          </w:p>
        </w:tc>
      </w:tr>
      <w:tr w14:paraId="431DC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168C762A">
            <w:pPr>
              <w:jc w:val="center"/>
              <w:rPr>
                <w:rFonts w:hAnsi="宋体"/>
                <w:sz w:val="21"/>
                <w:szCs w:val="21"/>
              </w:rPr>
            </w:pPr>
            <w:r>
              <w:rPr>
                <w:rFonts w:hint="eastAsia" w:ascii="Times New Roman" w:hAnsi="Times New Roman"/>
                <w:sz w:val="21"/>
                <w:szCs w:val="21"/>
                <w:lang w:val="en-US" w:eastAsia="zh-CN"/>
              </w:rPr>
              <w:t>8</w:t>
            </w:r>
          </w:p>
        </w:tc>
        <w:tc>
          <w:tcPr>
            <w:tcW w:w="996" w:type="dxa"/>
            <w:vAlign w:val="center"/>
          </w:tcPr>
          <w:p w14:paraId="5BEF0AB2">
            <w:pPr>
              <w:jc w:val="center"/>
              <w:rPr>
                <w:rFonts w:hAnsi="宋体"/>
                <w:sz w:val="21"/>
                <w:szCs w:val="21"/>
              </w:rPr>
            </w:pPr>
            <w:r>
              <w:rPr>
                <w:rFonts w:hint="eastAsia" w:ascii="Times New Roman" w:hAnsi="Times New Roman"/>
                <w:sz w:val="21"/>
                <w:szCs w:val="21"/>
                <w:lang w:val="en-US" w:eastAsia="zh-CN"/>
              </w:rPr>
              <w:t>张牧羊</w:t>
            </w:r>
          </w:p>
        </w:tc>
        <w:tc>
          <w:tcPr>
            <w:tcW w:w="3350" w:type="dxa"/>
            <w:vAlign w:val="center"/>
          </w:tcPr>
          <w:p w14:paraId="0B7E5369">
            <w:pPr>
              <w:jc w:val="center"/>
              <w:rPr>
                <w:rFonts w:hAnsi="宋体"/>
                <w:sz w:val="21"/>
                <w:szCs w:val="21"/>
              </w:rPr>
            </w:pPr>
            <w:r>
              <w:rPr>
                <w:rFonts w:hint="eastAsia" w:ascii="Times New Roman" w:hAnsi="Times New Roman"/>
                <w:sz w:val="21"/>
                <w:szCs w:val="21"/>
                <w:lang w:val="en-US" w:eastAsia="zh-CN"/>
              </w:rPr>
              <w:t>安徽省交通科学研究院</w:t>
            </w:r>
          </w:p>
        </w:tc>
        <w:tc>
          <w:tcPr>
            <w:tcW w:w="1619" w:type="dxa"/>
            <w:vAlign w:val="center"/>
          </w:tcPr>
          <w:p w14:paraId="52D361DB">
            <w:pPr>
              <w:jc w:val="center"/>
              <w:rPr>
                <w:rFonts w:hAnsi="宋体"/>
                <w:sz w:val="21"/>
                <w:szCs w:val="21"/>
              </w:rPr>
            </w:pPr>
            <w:r>
              <w:rPr>
                <w:rFonts w:hint="eastAsia" w:ascii="Times New Roman" w:hAnsi="Times New Roman"/>
                <w:sz w:val="21"/>
                <w:szCs w:val="21"/>
                <w:lang w:val="en-US" w:eastAsia="zh-CN"/>
              </w:rPr>
              <w:t>工程师</w:t>
            </w:r>
          </w:p>
        </w:tc>
        <w:tc>
          <w:tcPr>
            <w:tcW w:w="1315" w:type="dxa"/>
            <w:vAlign w:val="center"/>
          </w:tcPr>
          <w:p w14:paraId="2180836E">
            <w:pPr>
              <w:jc w:val="center"/>
              <w:rPr>
                <w:rFonts w:hAnsi="宋体"/>
                <w:sz w:val="21"/>
                <w:szCs w:val="21"/>
              </w:rPr>
            </w:pPr>
            <w:r>
              <w:rPr>
                <w:rFonts w:hint="eastAsia" w:ascii="Times New Roman" w:hAnsi="Times New Roman"/>
                <w:sz w:val="21"/>
                <w:szCs w:val="21"/>
                <w:lang w:val="en-US" w:eastAsia="zh-CN"/>
              </w:rPr>
              <w:t>高级工程师</w:t>
            </w:r>
          </w:p>
        </w:tc>
        <w:tc>
          <w:tcPr>
            <w:tcW w:w="1596" w:type="dxa"/>
            <w:vAlign w:val="center"/>
          </w:tcPr>
          <w:p w14:paraId="193C00FC">
            <w:pPr>
              <w:jc w:val="center"/>
              <w:rPr>
                <w:rFonts w:hAnsi="宋体"/>
                <w:sz w:val="21"/>
                <w:szCs w:val="21"/>
              </w:rPr>
            </w:pPr>
            <w:r>
              <w:rPr>
                <w:rFonts w:hint="eastAsia" w:ascii="Times New Roman" w:hAnsi="Times New Roman"/>
                <w:sz w:val="21"/>
                <w:szCs w:val="21"/>
              </w:rPr>
              <w:t>15395179683</w:t>
            </w:r>
          </w:p>
        </w:tc>
      </w:tr>
      <w:tr w14:paraId="2EFB8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675D44D5">
            <w:pPr>
              <w:jc w:val="center"/>
              <w:rPr>
                <w:rFonts w:hAnsi="宋体"/>
                <w:sz w:val="21"/>
                <w:szCs w:val="21"/>
              </w:rPr>
            </w:pPr>
            <w:r>
              <w:rPr>
                <w:rFonts w:hint="eastAsia" w:ascii="Times New Roman" w:hAnsi="Times New Roman"/>
                <w:sz w:val="21"/>
                <w:szCs w:val="21"/>
                <w:lang w:val="en-US" w:eastAsia="zh-CN"/>
              </w:rPr>
              <w:t>9</w:t>
            </w:r>
          </w:p>
        </w:tc>
        <w:tc>
          <w:tcPr>
            <w:tcW w:w="996" w:type="dxa"/>
            <w:vAlign w:val="center"/>
          </w:tcPr>
          <w:p w14:paraId="0A925BD6">
            <w:pPr>
              <w:jc w:val="center"/>
              <w:rPr>
                <w:rFonts w:hAnsi="宋体"/>
                <w:sz w:val="21"/>
                <w:szCs w:val="21"/>
              </w:rPr>
            </w:pPr>
            <w:r>
              <w:rPr>
                <w:rFonts w:hint="eastAsia" w:ascii="Times New Roman" w:hAnsi="Times New Roman"/>
                <w:sz w:val="21"/>
                <w:szCs w:val="21"/>
                <w:lang w:val="en-US" w:eastAsia="zh-CN"/>
              </w:rPr>
              <w:t>汪竹华</w:t>
            </w:r>
          </w:p>
        </w:tc>
        <w:tc>
          <w:tcPr>
            <w:tcW w:w="3350" w:type="dxa"/>
            <w:vAlign w:val="center"/>
          </w:tcPr>
          <w:p w14:paraId="7770614A">
            <w:pPr>
              <w:jc w:val="center"/>
              <w:rPr>
                <w:rFonts w:hAnsi="宋体"/>
                <w:sz w:val="21"/>
                <w:szCs w:val="21"/>
              </w:rPr>
            </w:pPr>
            <w:r>
              <w:rPr>
                <w:rFonts w:hint="eastAsia" w:ascii="Times New Roman" w:hAnsi="Times New Roman"/>
                <w:sz w:val="21"/>
                <w:szCs w:val="21"/>
                <w:lang w:val="en-US" w:eastAsia="zh-CN"/>
              </w:rPr>
              <w:t>安徽省交通科学研究院</w:t>
            </w:r>
          </w:p>
        </w:tc>
        <w:tc>
          <w:tcPr>
            <w:tcW w:w="1619" w:type="dxa"/>
            <w:vAlign w:val="center"/>
          </w:tcPr>
          <w:p w14:paraId="5FAD863E">
            <w:pPr>
              <w:jc w:val="center"/>
              <w:rPr>
                <w:rFonts w:hAnsi="宋体"/>
                <w:sz w:val="21"/>
                <w:szCs w:val="21"/>
              </w:rPr>
            </w:pPr>
            <w:r>
              <w:rPr>
                <w:rFonts w:hint="eastAsia" w:ascii="Times New Roman" w:hAnsi="Times New Roman"/>
                <w:sz w:val="21"/>
                <w:szCs w:val="21"/>
                <w:lang w:val="en-US" w:eastAsia="zh-CN"/>
              </w:rPr>
              <w:t>工程师</w:t>
            </w:r>
          </w:p>
        </w:tc>
        <w:tc>
          <w:tcPr>
            <w:tcW w:w="1315" w:type="dxa"/>
            <w:vAlign w:val="center"/>
          </w:tcPr>
          <w:p w14:paraId="5C6CBB1F">
            <w:pPr>
              <w:jc w:val="center"/>
              <w:rPr>
                <w:rFonts w:hAnsi="宋体"/>
                <w:sz w:val="21"/>
                <w:szCs w:val="21"/>
              </w:rPr>
            </w:pPr>
            <w:r>
              <w:rPr>
                <w:rFonts w:hint="eastAsia" w:ascii="Times New Roman" w:hAnsi="Times New Roman"/>
                <w:sz w:val="21"/>
                <w:szCs w:val="21"/>
                <w:lang w:val="en-US" w:eastAsia="zh-CN"/>
              </w:rPr>
              <w:t>助理工程师</w:t>
            </w:r>
          </w:p>
        </w:tc>
        <w:tc>
          <w:tcPr>
            <w:tcW w:w="1596" w:type="dxa"/>
            <w:vAlign w:val="center"/>
          </w:tcPr>
          <w:p w14:paraId="6EED4686">
            <w:pPr>
              <w:jc w:val="center"/>
              <w:rPr>
                <w:rFonts w:hAnsi="宋体"/>
                <w:sz w:val="21"/>
                <w:szCs w:val="21"/>
              </w:rPr>
            </w:pPr>
            <w:r>
              <w:rPr>
                <w:rFonts w:hint="eastAsia" w:ascii="Times New Roman" w:hAnsi="Times New Roman"/>
                <w:sz w:val="21"/>
                <w:szCs w:val="21"/>
              </w:rPr>
              <w:t>15395176343</w:t>
            </w:r>
          </w:p>
        </w:tc>
      </w:tr>
      <w:tr w14:paraId="447AF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05918865">
            <w:pPr>
              <w:jc w:val="center"/>
              <w:rPr>
                <w:rFonts w:hint="default" w:hAnsi="宋体"/>
                <w:sz w:val="21"/>
                <w:szCs w:val="21"/>
                <w:lang w:val="en-US"/>
              </w:rPr>
            </w:pPr>
            <w:r>
              <w:rPr>
                <w:rFonts w:hint="eastAsia" w:ascii="Times New Roman" w:hAnsi="Times New Roman"/>
                <w:sz w:val="21"/>
                <w:szCs w:val="21"/>
                <w:lang w:val="en-US" w:eastAsia="zh-CN"/>
              </w:rPr>
              <w:t>10</w:t>
            </w:r>
          </w:p>
        </w:tc>
        <w:tc>
          <w:tcPr>
            <w:tcW w:w="996" w:type="dxa"/>
            <w:vAlign w:val="center"/>
          </w:tcPr>
          <w:p w14:paraId="7EF9AE0C">
            <w:pPr>
              <w:jc w:val="center"/>
              <w:rPr>
                <w:rFonts w:hAnsi="宋体"/>
                <w:sz w:val="21"/>
                <w:szCs w:val="21"/>
              </w:rPr>
            </w:pPr>
            <w:r>
              <w:rPr>
                <w:rFonts w:hint="eastAsia" w:ascii="Times New Roman" w:hAnsi="Times New Roman"/>
                <w:sz w:val="21"/>
                <w:szCs w:val="21"/>
                <w:lang w:val="en-US" w:eastAsia="zh-CN"/>
              </w:rPr>
              <w:t>胡凯元</w:t>
            </w:r>
          </w:p>
        </w:tc>
        <w:tc>
          <w:tcPr>
            <w:tcW w:w="3350" w:type="dxa"/>
            <w:vAlign w:val="center"/>
          </w:tcPr>
          <w:p w14:paraId="58DB104B">
            <w:pPr>
              <w:jc w:val="center"/>
              <w:rPr>
                <w:rFonts w:hAnsi="宋体"/>
                <w:sz w:val="21"/>
                <w:szCs w:val="21"/>
              </w:rPr>
            </w:pPr>
            <w:r>
              <w:rPr>
                <w:rFonts w:hint="eastAsia" w:ascii="Times New Roman" w:hAnsi="Times New Roman"/>
                <w:sz w:val="21"/>
                <w:szCs w:val="21"/>
                <w:lang w:val="en-US" w:eastAsia="zh-CN"/>
              </w:rPr>
              <w:t>安徽省交通科学研究院</w:t>
            </w:r>
          </w:p>
        </w:tc>
        <w:tc>
          <w:tcPr>
            <w:tcW w:w="1619" w:type="dxa"/>
            <w:vAlign w:val="center"/>
          </w:tcPr>
          <w:p w14:paraId="09EE8791">
            <w:pPr>
              <w:jc w:val="center"/>
              <w:rPr>
                <w:rFonts w:hAnsi="宋体"/>
                <w:sz w:val="21"/>
                <w:szCs w:val="21"/>
              </w:rPr>
            </w:pPr>
            <w:r>
              <w:rPr>
                <w:rFonts w:hint="eastAsia" w:ascii="Times New Roman" w:hAnsi="Times New Roman"/>
                <w:sz w:val="21"/>
                <w:szCs w:val="21"/>
                <w:lang w:val="en-US" w:eastAsia="zh-CN"/>
              </w:rPr>
              <w:t>工程师</w:t>
            </w:r>
          </w:p>
        </w:tc>
        <w:tc>
          <w:tcPr>
            <w:tcW w:w="1315" w:type="dxa"/>
            <w:vAlign w:val="center"/>
          </w:tcPr>
          <w:p w14:paraId="339F963D">
            <w:pPr>
              <w:jc w:val="center"/>
              <w:rPr>
                <w:rFonts w:hAnsi="宋体"/>
                <w:sz w:val="21"/>
                <w:szCs w:val="21"/>
              </w:rPr>
            </w:pPr>
            <w:r>
              <w:rPr>
                <w:rFonts w:hint="eastAsia" w:ascii="Times New Roman" w:hAnsi="Times New Roman"/>
                <w:sz w:val="21"/>
                <w:szCs w:val="21"/>
                <w:lang w:val="en-US" w:eastAsia="zh-CN"/>
              </w:rPr>
              <w:t>助理工程师</w:t>
            </w:r>
          </w:p>
        </w:tc>
        <w:tc>
          <w:tcPr>
            <w:tcW w:w="1596" w:type="dxa"/>
            <w:vAlign w:val="center"/>
          </w:tcPr>
          <w:p w14:paraId="3601BE55">
            <w:pPr>
              <w:jc w:val="center"/>
              <w:rPr>
                <w:rFonts w:hAnsi="宋体"/>
                <w:sz w:val="21"/>
                <w:szCs w:val="21"/>
              </w:rPr>
            </w:pPr>
            <w:r>
              <w:rPr>
                <w:rFonts w:hint="eastAsia" w:ascii="Times New Roman" w:hAnsi="Times New Roman"/>
                <w:sz w:val="21"/>
                <w:szCs w:val="21"/>
              </w:rPr>
              <w:t>13866666808</w:t>
            </w:r>
          </w:p>
        </w:tc>
      </w:tr>
      <w:tr w14:paraId="05D6E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3AA8731F">
            <w:pPr>
              <w:jc w:val="center"/>
              <w:rPr>
                <w:rFonts w:hint="default" w:hAnsi="宋体"/>
                <w:sz w:val="21"/>
                <w:szCs w:val="21"/>
                <w:lang w:val="en-US"/>
              </w:rPr>
            </w:pPr>
            <w:r>
              <w:rPr>
                <w:rFonts w:hint="eastAsia" w:ascii="Times New Roman" w:hAnsi="Times New Roman"/>
                <w:sz w:val="21"/>
                <w:szCs w:val="21"/>
                <w:lang w:val="en-US" w:eastAsia="zh-CN"/>
              </w:rPr>
              <w:t>11</w:t>
            </w:r>
          </w:p>
        </w:tc>
        <w:tc>
          <w:tcPr>
            <w:tcW w:w="996" w:type="dxa"/>
            <w:vAlign w:val="center"/>
          </w:tcPr>
          <w:p w14:paraId="602FA533">
            <w:pPr>
              <w:jc w:val="center"/>
              <w:rPr>
                <w:rFonts w:hAnsi="宋体"/>
                <w:sz w:val="21"/>
                <w:szCs w:val="21"/>
              </w:rPr>
            </w:pPr>
            <w:r>
              <w:rPr>
                <w:rFonts w:hint="eastAsia" w:ascii="Times New Roman" w:hAnsi="Times New Roman"/>
                <w:sz w:val="21"/>
                <w:szCs w:val="21"/>
                <w:lang w:val="en-US" w:eastAsia="zh-CN"/>
              </w:rPr>
              <w:t>张念尧</w:t>
            </w:r>
          </w:p>
        </w:tc>
        <w:tc>
          <w:tcPr>
            <w:tcW w:w="3350" w:type="dxa"/>
            <w:vAlign w:val="center"/>
          </w:tcPr>
          <w:p w14:paraId="01F4DBF6">
            <w:pPr>
              <w:jc w:val="center"/>
              <w:rPr>
                <w:rFonts w:hAnsi="宋体"/>
                <w:sz w:val="21"/>
                <w:szCs w:val="21"/>
              </w:rPr>
            </w:pPr>
            <w:r>
              <w:rPr>
                <w:rFonts w:hint="eastAsia" w:ascii="Times New Roman" w:hAnsi="Times New Roman"/>
                <w:sz w:val="21"/>
                <w:szCs w:val="21"/>
                <w:lang w:val="en-US" w:eastAsia="zh-CN"/>
              </w:rPr>
              <w:t>安徽省交通科学研究院</w:t>
            </w:r>
          </w:p>
        </w:tc>
        <w:tc>
          <w:tcPr>
            <w:tcW w:w="1619" w:type="dxa"/>
            <w:vAlign w:val="center"/>
          </w:tcPr>
          <w:p w14:paraId="4C284305">
            <w:pPr>
              <w:jc w:val="center"/>
              <w:rPr>
                <w:rFonts w:hAnsi="宋体"/>
                <w:sz w:val="21"/>
                <w:szCs w:val="21"/>
              </w:rPr>
            </w:pPr>
            <w:r>
              <w:rPr>
                <w:rFonts w:hint="eastAsia" w:ascii="Times New Roman" w:hAnsi="Times New Roman"/>
                <w:sz w:val="21"/>
                <w:szCs w:val="21"/>
                <w:lang w:val="en-US" w:eastAsia="zh-CN"/>
              </w:rPr>
              <w:t>工程师</w:t>
            </w:r>
          </w:p>
        </w:tc>
        <w:tc>
          <w:tcPr>
            <w:tcW w:w="1315" w:type="dxa"/>
            <w:vAlign w:val="center"/>
          </w:tcPr>
          <w:p w14:paraId="0A818F41">
            <w:pPr>
              <w:jc w:val="center"/>
              <w:rPr>
                <w:rFonts w:hAnsi="宋体"/>
                <w:sz w:val="21"/>
                <w:szCs w:val="21"/>
              </w:rPr>
            </w:pPr>
            <w:r>
              <w:rPr>
                <w:rFonts w:hint="eastAsia" w:ascii="Times New Roman" w:hAnsi="Times New Roman"/>
                <w:sz w:val="21"/>
                <w:szCs w:val="21"/>
                <w:lang w:val="en-US" w:eastAsia="zh-CN"/>
              </w:rPr>
              <w:t>助理工程师</w:t>
            </w:r>
          </w:p>
        </w:tc>
        <w:tc>
          <w:tcPr>
            <w:tcW w:w="1596" w:type="dxa"/>
            <w:vAlign w:val="center"/>
          </w:tcPr>
          <w:p w14:paraId="2FB73539">
            <w:pPr>
              <w:jc w:val="center"/>
              <w:rPr>
                <w:rFonts w:hAnsi="宋体"/>
                <w:sz w:val="21"/>
                <w:szCs w:val="21"/>
              </w:rPr>
            </w:pPr>
            <w:r>
              <w:rPr>
                <w:rFonts w:hint="eastAsia" w:ascii="Times New Roman" w:hAnsi="Times New Roman"/>
                <w:sz w:val="21"/>
                <w:szCs w:val="21"/>
              </w:rPr>
              <w:t>18621897630</w:t>
            </w:r>
          </w:p>
        </w:tc>
      </w:tr>
      <w:tr w14:paraId="5E9A1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67A3BDBF">
            <w:pPr>
              <w:jc w:val="center"/>
              <w:rPr>
                <w:rFonts w:hint="default" w:hAnsi="宋体"/>
                <w:sz w:val="21"/>
                <w:szCs w:val="21"/>
                <w:lang w:val="en-US"/>
              </w:rPr>
            </w:pPr>
            <w:r>
              <w:rPr>
                <w:rFonts w:hint="eastAsia" w:ascii="Times New Roman" w:hAnsi="Times New Roman"/>
                <w:sz w:val="21"/>
                <w:szCs w:val="21"/>
                <w:lang w:val="en-US" w:eastAsia="zh-CN"/>
              </w:rPr>
              <w:t>12</w:t>
            </w:r>
          </w:p>
        </w:tc>
        <w:tc>
          <w:tcPr>
            <w:tcW w:w="996" w:type="dxa"/>
            <w:vAlign w:val="center"/>
          </w:tcPr>
          <w:p w14:paraId="1C4A403D">
            <w:pPr>
              <w:jc w:val="center"/>
              <w:rPr>
                <w:rFonts w:hAnsi="宋体"/>
                <w:sz w:val="21"/>
                <w:szCs w:val="21"/>
              </w:rPr>
            </w:pPr>
            <w:r>
              <w:rPr>
                <w:rFonts w:hint="eastAsia" w:ascii="Times New Roman" w:hAnsi="Times New Roman"/>
                <w:sz w:val="21"/>
                <w:szCs w:val="21"/>
                <w:lang w:val="en-US" w:eastAsia="zh-CN"/>
              </w:rPr>
              <w:t>柳阳</w:t>
            </w:r>
          </w:p>
        </w:tc>
        <w:tc>
          <w:tcPr>
            <w:tcW w:w="3350" w:type="dxa"/>
            <w:vAlign w:val="center"/>
          </w:tcPr>
          <w:p w14:paraId="2897AA0B">
            <w:pPr>
              <w:jc w:val="center"/>
              <w:rPr>
                <w:rFonts w:hAnsi="宋体"/>
                <w:sz w:val="21"/>
                <w:szCs w:val="21"/>
              </w:rPr>
            </w:pPr>
            <w:r>
              <w:rPr>
                <w:rFonts w:hint="eastAsia" w:ascii="Times New Roman" w:hAnsi="Times New Roman"/>
                <w:sz w:val="21"/>
                <w:szCs w:val="21"/>
                <w:lang w:val="en-US" w:eastAsia="zh-CN"/>
              </w:rPr>
              <w:t>安徽省交通科学研究院</w:t>
            </w:r>
          </w:p>
        </w:tc>
        <w:tc>
          <w:tcPr>
            <w:tcW w:w="1619" w:type="dxa"/>
            <w:vAlign w:val="center"/>
          </w:tcPr>
          <w:p w14:paraId="4466FAA1">
            <w:pPr>
              <w:jc w:val="center"/>
              <w:rPr>
                <w:rFonts w:hAnsi="宋体"/>
                <w:sz w:val="21"/>
                <w:szCs w:val="21"/>
              </w:rPr>
            </w:pPr>
            <w:r>
              <w:rPr>
                <w:rFonts w:hint="eastAsia" w:ascii="Times New Roman" w:hAnsi="Times New Roman"/>
                <w:sz w:val="21"/>
                <w:szCs w:val="21"/>
                <w:lang w:val="en-US" w:eastAsia="zh-CN"/>
              </w:rPr>
              <w:t>工程师</w:t>
            </w:r>
          </w:p>
        </w:tc>
        <w:tc>
          <w:tcPr>
            <w:tcW w:w="1315" w:type="dxa"/>
            <w:vAlign w:val="center"/>
          </w:tcPr>
          <w:p w14:paraId="443F23BD">
            <w:pPr>
              <w:jc w:val="center"/>
              <w:rPr>
                <w:rFonts w:hAnsi="宋体"/>
                <w:sz w:val="21"/>
                <w:szCs w:val="21"/>
              </w:rPr>
            </w:pPr>
            <w:r>
              <w:rPr>
                <w:rFonts w:hint="eastAsia" w:ascii="Times New Roman" w:hAnsi="Times New Roman"/>
                <w:sz w:val="21"/>
                <w:szCs w:val="21"/>
                <w:lang w:val="en-US" w:eastAsia="zh-CN"/>
              </w:rPr>
              <w:t>助理工程师</w:t>
            </w:r>
          </w:p>
        </w:tc>
        <w:tc>
          <w:tcPr>
            <w:tcW w:w="1596" w:type="dxa"/>
            <w:vAlign w:val="center"/>
          </w:tcPr>
          <w:p w14:paraId="1FF8C03D">
            <w:pPr>
              <w:jc w:val="center"/>
              <w:rPr>
                <w:rFonts w:hAnsi="宋体"/>
                <w:sz w:val="21"/>
                <w:szCs w:val="21"/>
              </w:rPr>
            </w:pPr>
            <w:r>
              <w:rPr>
                <w:rFonts w:hint="eastAsia" w:ascii="Times New Roman" w:hAnsi="Times New Roman"/>
                <w:sz w:val="21"/>
                <w:szCs w:val="21"/>
              </w:rPr>
              <w:t>15922425885</w:t>
            </w:r>
          </w:p>
        </w:tc>
      </w:tr>
      <w:tr w14:paraId="2AA6E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68F324FE">
            <w:pPr>
              <w:pStyle w:val="4"/>
              <w:adjustRightInd w:val="0"/>
              <w:spacing w:line="360" w:lineRule="auto"/>
              <w:ind w:firstLine="0" w:firstLineChars="0"/>
              <w:contextualSpacing/>
              <w:jc w:val="center"/>
              <w:rPr>
                <w:rFonts w:hAnsi="宋体"/>
                <w:szCs w:val="21"/>
              </w:rPr>
            </w:pPr>
            <w:r>
              <w:rPr>
                <w:rFonts w:hint="eastAsia" w:hAnsi="宋体"/>
                <w:szCs w:val="21"/>
              </w:rPr>
              <w:t>编制情况</w:t>
            </w:r>
          </w:p>
        </w:tc>
      </w:tr>
      <w:tr w14:paraId="32B63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305621DB">
            <w:pPr>
              <w:pStyle w:val="4"/>
              <w:adjustRightInd w:val="0"/>
              <w:spacing w:line="360" w:lineRule="auto"/>
              <w:ind w:firstLine="0" w:firstLineChars="0"/>
              <w:contextualSpacing/>
              <w:rPr>
                <w:rFonts w:hAnsi="宋体"/>
                <w:szCs w:val="21"/>
              </w:rPr>
            </w:pPr>
            <w:r>
              <w:rPr>
                <w:rFonts w:hint="eastAsia" w:hAnsi="宋体"/>
                <w:szCs w:val="21"/>
              </w:rPr>
              <w:t>1、编制过程简介</w:t>
            </w:r>
          </w:p>
        </w:tc>
      </w:tr>
      <w:tr w14:paraId="455C6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260E0039">
            <w:pPr>
              <w:pStyle w:val="4"/>
              <w:adjustRightInd w:val="0"/>
              <w:spacing w:line="360" w:lineRule="auto"/>
              <w:contextualSpacing/>
              <w:rPr>
                <w:rFonts w:hint="eastAsia" w:hAnsi="宋体"/>
                <w:szCs w:val="21"/>
              </w:rPr>
            </w:pPr>
            <w:r>
              <w:rPr>
                <w:rFonts w:hint="eastAsia" w:hAnsi="宋体"/>
                <w:szCs w:val="21"/>
              </w:rPr>
              <w:t>2022年9月，收到《安徽省市场监督管理局关于下达202</w:t>
            </w:r>
            <w:r>
              <w:rPr>
                <w:rFonts w:hint="eastAsia" w:hAnsi="宋体"/>
                <w:szCs w:val="21"/>
                <w:lang w:val="en-US" w:eastAsia="zh-CN"/>
              </w:rPr>
              <w:t>3</w:t>
            </w:r>
            <w:r>
              <w:rPr>
                <w:rFonts w:hint="eastAsia" w:hAnsi="宋体"/>
                <w:szCs w:val="21"/>
              </w:rPr>
              <w:t>年第</w:t>
            </w:r>
            <w:r>
              <w:rPr>
                <w:rFonts w:hint="eastAsia" w:hAnsi="宋体"/>
                <w:szCs w:val="21"/>
                <w:lang w:val="en-US" w:eastAsia="zh-CN"/>
              </w:rPr>
              <w:t>三</w:t>
            </w:r>
            <w:r>
              <w:rPr>
                <w:rFonts w:hint="eastAsia" w:hAnsi="宋体"/>
                <w:szCs w:val="21"/>
              </w:rPr>
              <w:t>批安徽省地方标准制修订计划的通知》（皖市监函〔202</w:t>
            </w:r>
            <w:r>
              <w:rPr>
                <w:rFonts w:hint="eastAsia" w:hAnsi="宋体"/>
                <w:szCs w:val="21"/>
                <w:lang w:val="en-US" w:eastAsia="zh-CN"/>
              </w:rPr>
              <w:t>3</w:t>
            </w:r>
            <w:r>
              <w:rPr>
                <w:rFonts w:hint="eastAsia" w:hAnsi="宋体"/>
                <w:szCs w:val="21"/>
              </w:rPr>
              <w:t>〕</w:t>
            </w:r>
            <w:r>
              <w:rPr>
                <w:rFonts w:hint="eastAsia" w:hAnsi="宋体"/>
                <w:szCs w:val="21"/>
                <w:lang w:val="en-US" w:eastAsia="zh-CN"/>
              </w:rPr>
              <w:t>622</w:t>
            </w:r>
            <w:r>
              <w:rPr>
                <w:rFonts w:hint="eastAsia" w:hAnsi="宋体"/>
                <w:szCs w:val="21"/>
              </w:rPr>
              <w:t>号）后，成立标准编制小组，成员有邢伟、高俊韬、万云刚、蔡灏、韩朋、胡一恒、李潜、张牧羊、汪竹华、胡凯元、张念尧、柳阳。</w:t>
            </w:r>
          </w:p>
          <w:p w14:paraId="5BD5E744">
            <w:pPr>
              <w:pStyle w:val="4"/>
              <w:adjustRightInd w:val="0"/>
              <w:spacing w:line="360" w:lineRule="auto"/>
              <w:contextualSpacing/>
              <w:rPr>
                <w:rFonts w:hint="eastAsia" w:hAnsi="宋体"/>
                <w:szCs w:val="21"/>
              </w:rPr>
            </w:pPr>
            <w:r>
              <w:rPr>
                <w:rFonts w:hint="eastAsia" w:hAnsi="宋体"/>
                <w:szCs w:val="21"/>
              </w:rPr>
              <w:t>标准起草过程：</w:t>
            </w:r>
          </w:p>
          <w:p w14:paraId="0EEFF95F">
            <w:pPr>
              <w:pStyle w:val="4"/>
              <w:adjustRightInd w:val="0"/>
              <w:spacing w:line="360" w:lineRule="auto"/>
              <w:contextualSpacing/>
              <w:rPr>
                <w:rFonts w:hint="eastAsia" w:hAnsi="宋体"/>
                <w:szCs w:val="21"/>
              </w:rPr>
            </w:pPr>
            <w:r>
              <w:rPr>
                <w:rFonts w:hint="eastAsia" w:hAnsi="宋体"/>
                <w:szCs w:val="21"/>
              </w:rPr>
              <w:t>202</w:t>
            </w:r>
            <w:r>
              <w:rPr>
                <w:rFonts w:hint="eastAsia" w:hAnsi="宋体"/>
                <w:szCs w:val="21"/>
                <w:lang w:val="en-US" w:eastAsia="zh-CN"/>
              </w:rPr>
              <w:t>3</w:t>
            </w:r>
            <w:r>
              <w:rPr>
                <w:rFonts w:hint="eastAsia" w:hAnsi="宋体"/>
                <w:szCs w:val="21"/>
              </w:rPr>
              <w:t>年</w:t>
            </w:r>
            <w:r>
              <w:rPr>
                <w:rFonts w:hint="eastAsia" w:hAnsi="宋体"/>
                <w:szCs w:val="21"/>
                <w:lang w:val="en-US" w:eastAsia="zh-CN"/>
              </w:rPr>
              <w:t>4</w:t>
            </w:r>
            <w:r>
              <w:rPr>
                <w:rFonts w:hint="eastAsia" w:hAnsi="宋体"/>
                <w:szCs w:val="21"/>
              </w:rPr>
              <w:t>月，安徽省交通科学研究院提出《内河水运设施健康监测与预警技术规范 第</w:t>
            </w:r>
            <w:r>
              <w:rPr>
                <w:rFonts w:hint="eastAsia" w:hAnsi="宋体"/>
                <w:szCs w:val="21"/>
                <w:lang w:val="en-US" w:eastAsia="zh-CN"/>
              </w:rPr>
              <w:t>2</w:t>
            </w:r>
            <w:r>
              <w:rPr>
                <w:rFonts w:hint="eastAsia" w:hAnsi="宋体"/>
                <w:szCs w:val="21"/>
              </w:rPr>
              <w:t>部分：</w:t>
            </w:r>
            <w:r>
              <w:rPr>
                <w:rFonts w:hint="eastAsia" w:hAnsi="宋体"/>
                <w:szCs w:val="21"/>
                <w:lang w:val="en-US" w:eastAsia="zh-CN"/>
              </w:rPr>
              <w:t>平台技术要求</w:t>
            </w:r>
            <w:r>
              <w:rPr>
                <w:rFonts w:hint="eastAsia" w:hAnsi="宋体"/>
                <w:szCs w:val="21"/>
              </w:rPr>
              <w:t>》编制申请，</w:t>
            </w:r>
            <w:r>
              <w:rPr>
                <w:rFonts w:hint="eastAsia" w:hAnsi="宋体"/>
                <w:szCs w:val="21"/>
                <w:lang w:val="en-US" w:eastAsia="zh-CN"/>
              </w:rPr>
              <w:t>12</w:t>
            </w:r>
            <w:r>
              <w:rPr>
                <w:rFonts w:hint="eastAsia" w:hAnsi="宋体"/>
                <w:szCs w:val="21"/>
              </w:rPr>
              <w:t>月安徽省市场监督管理局下达该标准的编制任务。任务下达后，成立编写小组，在总结多年实践经验及研究分析国内外水运设施健康监测和预警案例的基础上，广泛收集省内外水运基础设施健康检测</w:t>
            </w:r>
            <w:r>
              <w:rPr>
                <w:rFonts w:hint="eastAsia" w:hAnsi="宋体"/>
                <w:szCs w:val="21"/>
                <w:lang w:val="en-US" w:eastAsia="zh-CN"/>
              </w:rPr>
              <w:t>数据分析与预警</w:t>
            </w:r>
            <w:r>
              <w:rPr>
                <w:rFonts w:hint="eastAsia" w:hAnsi="宋体"/>
                <w:szCs w:val="21"/>
              </w:rPr>
              <w:t>技术相关资料，针对相关问题开展多轮技术咨询和专项研究，编制了标准编制工作大纲。</w:t>
            </w:r>
          </w:p>
          <w:p w14:paraId="405ACAFC">
            <w:pPr>
              <w:pStyle w:val="4"/>
              <w:numPr>
                <w:ilvl w:val="0"/>
                <w:numId w:val="2"/>
              </w:numPr>
              <w:adjustRightInd w:val="0"/>
              <w:spacing w:line="360" w:lineRule="auto"/>
              <w:contextualSpacing/>
              <w:rPr>
                <w:rFonts w:hint="eastAsia" w:hAnsi="宋体"/>
                <w:szCs w:val="21"/>
              </w:rPr>
            </w:pPr>
            <w:r>
              <w:rPr>
                <w:rFonts w:hint="eastAsia" w:hAnsi="宋体"/>
                <w:szCs w:val="21"/>
              </w:rPr>
              <w:t>工作大纲评审会</w:t>
            </w:r>
            <w:r>
              <w:rPr>
                <w:rFonts w:hint="eastAsia" w:hAnsi="宋体"/>
                <w:szCs w:val="21"/>
                <w:lang w:eastAsia="zh-CN"/>
              </w:rPr>
              <w:t>：</w:t>
            </w:r>
            <w:r>
              <w:rPr>
                <w:rFonts w:hint="eastAsia" w:hAnsi="宋体"/>
                <w:szCs w:val="21"/>
              </w:rPr>
              <w:t>20</w:t>
            </w:r>
            <w:r>
              <w:rPr>
                <w:rFonts w:hint="eastAsia" w:hAnsi="宋体"/>
                <w:szCs w:val="21"/>
                <w:lang w:val="en-US" w:eastAsia="zh-CN"/>
              </w:rPr>
              <w:t>24</w:t>
            </w:r>
            <w:r>
              <w:rPr>
                <w:rFonts w:hint="eastAsia" w:hAnsi="宋体"/>
                <w:szCs w:val="21"/>
              </w:rPr>
              <w:t>年</w:t>
            </w:r>
            <w:r>
              <w:rPr>
                <w:rFonts w:hint="eastAsia" w:hAnsi="宋体"/>
                <w:szCs w:val="21"/>
                <w:lang w:val="en-US" w:eastAsia="zh-CN"/>
              </w:rPr>
              <w:t>7</w:t>
            </w:r>
            <w:r>
              <w:rPr>
                <w:rFonts w:hint="eastAsia" w:hAnsi="宋体"/>
                <w:szCs w:val="21"/>
              </w:rPr>
              <w:t>月</w:t>
            </w:r>
            <w:r>
              <w:rPr>
                <w:rFonts w:hint="eastAsia" w:hAnsi="宋体"/>
                <w:szCs w:val="21"/>
                <w:lang w:val="en-US" w:eastAsia="zh-CN"/>
              </w:rPr>
              <w:t>13</w:t>
            </w:r>
            <w:r>
              <w:rPr>
                <w:rFonts w:hint="eastAsia" w:hAnsi="宋体"/>
                <w:szCs w:val="21"/>
              </w:rPr>
              <w:t>日，编制组在安徽省交通科学研究院召开了工作大纲评审会，会议邀请了来自是</w:t>
            </w:r>
            <w:r>
              <w:rPr>
                <w:rFonts w:hint="eastAsia" w:hAnsi="宋体"/>
                <w:szCs w:val="21"/>
                <w:lang w:val="en-US" w:eastAsia="zh-CN"/>
              </w:rPr>
              <w:t>安徽大学</w:t>
            </w:r>
            <w:r>
              <w:rPr>
                <w:rFonts w:hint="eastAsia" w:hAnsi="宋体"/>
                <w:szCs w:val="21"/>
              </w:rPr>
              <w:t>、</w:t>
            </w:r>
            <w:r>
              <w:rPr>
                <w:rFonts w:hint="eastAsia" w:hAnsi="宋体"/>
                <w:szCs w:val="21"/>
                <w:lang w:val="en-US" w:eastAsia="zh-CN"/>
              </w:rPr>
              <w:t>安徽省交通勘查设计院有限公司、中国科学技术大学、原安徽省公路管理服务中心和原安徽省港航集团有限公司</w:t>
            </w:r>
            <w:r>
              <w:rPr>
                <w:rFonts w:hint="eastAsia" w:hAnsi="宋体"/>
                <w:szCs w:val="21"/>
              </w:rPr>
              <w:t>等5位专家，标准编制承担单位介绍了课题研究的依据、思路、研究的技术路线、关键技术、研究主要内容、进度安排、任务分工及预期成果等。经过专家讨论，会议决定将</w:t>
            </w:r>
            <w:r>
              <w:rPr>
                <w:rFonts w:hint="eastAsia" w:hAnsi="宋体"/>
                <w:szCs w:val="21"/>
                <w:lang w:val="en-US" w:eastAsia="zh-CN"/>
              </w:rPr>
              <w:t>本规范的第2部分名称修改为“</w:t>
            </w:r>
            <w:r>
              <w:rPr>
                <w:rFonts w:hint="eastAsia" w:hAnsi="宋体"/>
                <w:szCs w:val="21"/>
              </w:rPr>
              <w:t>数据分析与预警</w:t>
            </w:r>
            <w:r>
              <w:rPr>
                <w:rFonts w:hint="eastAsia" w:hAnsi="宋体"/>
                <w:szCs w:val="21"/>
                <w:lang w:val="en-US" w:eastAsia="zh-CN"/>
              </w:rPr>
              <w:t>”，并建议根据规范所涉及的内河水运设施健康监测与预警平台的技术架构和功能组成，进一步优化标准框架，</w:t>
            </w:r>
            <w:r>
              <w:rPr>
                <w:rFonts w:hint="eastAsia" w:hAnsi="宋体"/>
                <w:szCs w:val="21"/>
              </w:rPr>
              <w:t>并对标准格式</w:t>
            </w:r>
            <w:r>
              <w:rPr>
                <w:rFonts w:hint="eastAsia" w:hAnsi="宋体"/>
                <w:szCs w:val="21"/>
                <w:lang w:val="en-US" w:eastAsia="zh-CN"/>
              </w:rPr>
              <w:t>和行文</w:t>
            </w:r>
            <w:r>
              <w:rPr>
                <w:rFonts w:hint="eastAsia" w:hAnsi="宋体"/>
                <w:szCs w:val="21"/>
              </w:rPr>
              <w:t>提出了一系列修改建议。</w:t>
            </w:r>
          </w:p>
          <w:p w14:paraId="3C854035">
            <w:pPr>
              <w:pStyle w:val="4"/>
              <w:adjustRightInd w:val="0"/>
              <w:spacing w:line="360" w:lineRule="auto"/>
              <w:contextualSpacing/>
              <w:rPr>
                <w:rFonts w:hint="eastAsia" w:hAnsi="宋体"/>
                <w:szCs w:val="21"/>
              </w:rPr>
            </w:pPr>
            <w:r>
              <w:rPr>
                <w:rFonts w:hint="eastAsia" w:hAnsi="宋体"/>
                <w:szCs w:val="21"/>
                <w:lang w:val="en-US" w:eastAsia="zh-CN"/>
              </w:rPr>
              <w:t>2）</w:t>
            </w:r>
            <w:r>
              <w:rPr>
                <w:rFonts w:hint="eastAsia" w:hAnsi="宋体"/>
                <w:szCs w:val="21"/>
              </w:rPr>
              <w:t>征求意见稿专家评审会</w:t>
            </w:r>
          </w:p>
          <w:p w14:paraId="3E1233AB">
            <w:pPr>
              <w:pStyle w:val="4"/>
              <w:adjustRightInd w:val="0"/>
              <w:spacing w:line="360" w:lineRule="auto"/>
              <w:contextualSpacing/>
              <w:rPr>
                <w:rFonts w:hAnsi="宋体"/>
                <w:szCs w:val="21"/>
              </w:rPr>
            </w:pPr>
            <w:r>
              <w:rPr>
                <w:rFonts w:hint="eastAsia" w:hAnsi="宋体"/>
                <w:szCs w:val="21"/>
              </w:rPr>
              <w:t>2024年1</w:t>
            </w:r>
            <w:r>
              <w:rPr>
                <w:rFonts w:hint="eastAsia" w:hAnsi="宋体"/>
                <w:szCs w:val="21"/>
                <w:lang w:val="en-US" w:eastAsia="zh-CN"/>
              </w:rPr>
              <w:t>0</w:t>
            </w:r>
            <w:r>
              <w:rPr>
                <w:rFonts w:hint="eastAsia" w:hAnsi="宋体"/>
                <w:szCs w:val="21"/>
              </w:rPr>
              <w:t>月</w:t>
            </w:r>
            <w:r>
              <w:rPr>
                <w:rFonts w:hint="eastAsia" w:hAnsi="宋体"/>
                <w:szCs w:val="21"/>
                <w:lang w:val="en-US" w:eastAsia="zh-CN"/>
              </w:rPr>
              <w:t>1</w:t>
            </w:r>
            <w:r>
              <w:rPr>
                <w:rFonts w:hint="eastAsia" w:hAnsi="宋体"/>
                <w:szCs w:val="21"/>
              </w:rPr>
              <w:t>6日，安徽省交通科学研究院在合肥主持召开安徽省地方标准内河水运设施健康监测与预警技术规范 第</w:t>
            </w:r>
            <w:r>
              <w:rPr>
                <w:rFonts w:hint="eastAsia" w:hAnsi="宋体"/>
                <w:szCs w:val="21"/>
                <w:lang w:val="en-US" w:eastAsia="zh-CN"/>
              </w:rPr>
              <w:t>2</w:t>
            </w:r>
            <w:r>
              <w:rPr>
                <w:rFonts w:hint="eastAsia" w:hAnsi="宋体"/>
                <w:szCs w:val="21"/>
              </w:rPr>
              <w:t>部分：</w:t>
            </w:r>
            <w:r>
              <w:rPr>
                <w:rFonts w:hint="eastAsia" w:hAnsi="宋体"/>
                <w:szCs w:val="21"/>
                <w:lang w:val="en-US" w:eastAsia="zh-CN"/>
              </w:rPr>
              <w:t>数据分析与预警</w:t>
            </w:r>
            <w:r>
              <w:rPr>
                <w:rFonts w:hint="eastAsia" w:hAnsi="宋体"/>
                <w:szCs w:val="21"/>
              </w:rPr>
              <w:t>(征求意见稿)》专家评审会。来自安徽大学、安徽省交通建设股份有限公司</w:t>
            </w:r>
            <w:r>
              <w:rPr>
                <w:rFonts w:hint="eastAsia" w:hAnsi="宋体"/>
                <w:szCs w:val="21"/>
                <w:lang w:eastAsia="zh-CN"/>
              </w:rPr>
              <w:t>、安徽省交通航务工程有限公司、原省公路管理服务中心、</w:t>
            </w:r>
            <w:r>
              <w:rPr>
                <w:rFonts w:hint="eastAsia" w:hAnsi="宋体"/>
                <w:szCs w:val="21"/>
                <w:lang w:val="en-US" w:eastAsia="zh-CN"/>
              </w:rPr>
              <w:t>原安徽省港航集团有限公司</w:t>
            </w:r>
            <w:r>
              <w:rPr>
                <w:rFonts w:hint="eastAsia" w:hAnsi="宋体"/>
                <w:szCs w:val="21"/>
              </w:rPr>
              <w:t>等</w:t>
            </w:r>
            <w:r>
              <w:rPr>
                <w:rFonts w:hint="eastAsia" w:hAnsi="宋体"/>
                <w:szCs w:val="21"/>
                <w:lang w:val="en-US" w:eastAsia="zh-CN"/>
              </w:rPr>
              <w:t>5</w:t>
            </w:r>
            <w:r>
              <w:rPr>
                <w:rFonts w:hint="eastAsia" w:hAnsi="宋体"/>
                <w:szCs w:val="21"/>
              </w:rPr>
              <w:t>位专家组成评审专家组。专家组认真听取了编制单位的汇报，经质询和讨论，提出了</w:t>
            </w:r>
            <w:r>
              <w:rPr>
                <w:rFonts w:hint="eastAsia" w:hAnsi="宋体"/>
                <w:szCs w:val="21"/>
                <w:lang w:val="en-US" w:eastAsia="zh-CN"/>
              </w:rPr>
              <w:t>11</w:t>
            </w:r>
            <w:r>
              <w:rPr>
                <w:rFonts w:hint="eastAsia" w:hAnsi="宋体"/>
                <w:szCs w:val="21"/>
              </w:rPr>
              <w:t>条修改建议，并一致认为，《征求意见稿》编制目标明确，内容齐全，结构</w:t>
            </w:r>
            <w:r>
              <w:rPr>
                <w:rFonts w:hint="eastAsia" w:hAnsi="宋体"/>
                <w:szCs w:val="21"/>
                <w:lang w:val="en-US" w:eastAsia="zh-CN"/>
              </w:rPr>
              <w:t>较</w:t>
            </w:r>
            <w:r>
              <w:rPr>
                <w:rFonts w:hint="eastAsia" w:hAnsi="宋体"/>
                <w:szCs w:val="21"/>
              </w:rPr>
              <w:t>合理，符合安徽省地方标准编制的要求，同意通过评审。会后，编制组根据专家意见完成对征求意见稿的修改完善工作。</w:t>
            </w:r>
          </w:p>
        </w:tc>
      </w:tr>
      <w:tr w14:paraId="52A40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495FCDF9">
            <w:pPr>
              <w:pStyle w:val="4"/>
              <w:adjustRightInd w:val="0"/>
              <w:spacing w:line="360" w:lineRule="auto"/>
              <w:ind w:firstLine="0" w:firstLineChars="0"/>
              <w:contextualSpacing/>
              <w:rPr>
                <w:rFonts w:hAnsi="宋体"/>
                <w:szCs w:val="21"/>
              </w:rPr>
            </w:pPr>
            <w:r>
              <w:rPr>
                <w:rFonts w:hint="eastAsia" w:hAnsi="宋体"/>
                <w:szCs w:val="21"/>
              </w:rPr>
              <w:t>2、制定标准的必要性和意义</w:t>
            </w:r>
          </w:p>
        </w:tc>
      </w:tr>
      <w:tr w14:paraId="21039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1896CC9A">
            <w:pPr>
              <w:pStyle w:val="4"/>
              <w:adjustRightInd w:val="0"/>
              <w:spacing w:line="360" w:lineRule="auto"/>
              <w:ind w:firstLine="0" w:firstLineChars="0"/>
              <w:contextualSpacing/>
              <w:rPr>
                <w:rFonts w:hAnsi="宋体"/>
                <w:b/>
                <w:szCs w:val="21"/>
              </w:rPr>
            </w:pPr>
            <w:r>
              <w:rPr>
                <w:rFonts w:hint="eastAsia" w:hAnsi="宋体"/>
                <w:b/>
                <w:szCs w:val="21"/>
              </w:rPr>
              <w:t>必要性：</w:t>
            </w:r>
          </w:p>
          <w:p w14:paraId="343160AD">
            <w:pPr>
              <w:pStyle w:val="4"/>
              <w:adjustRightInd w:val="0"/>
              <w:spacing w:line="360" w:lineRule="auto"/>
              <w:contextualSpacing/>
              <w:rPr>
                <w:rFonts w:hint="eastAsia" w:hAnsi="宋体"/>
                <w:szCs w:val="21"/>
              </w:rPr>
            </w:pPr>
            <w:r>
              <w:rPr>
                <w:rFonts w:hint="eastAsia" w:hAnsi="宋体"/>
                <w:szCs w:val="21"/>
              </w:rPr>
              <w:t>近年来我国兴建了的大量船闸、</w:t>
            </w:r>
            <w:r>
              <w:rPr>
                <w:rFonts w:hint="eastAsia" w:hAnsi="宋体"/>
                <w:szCs w:val="21"/>
                <w:lang w:val="en-US" w:eastAsia="zh-CN"/>
              </w:rPr>
              <w:t>码头</w:t>
            </w:r>
            <w:r>
              <w:rPr>
                <w:rFonts w:hint="eastAsia" w:hAnsi="宋体"/>
                <w:szCs w:val="21"/>
              </w:rPr>
              <w:t>、</w:t>
            </w:r>
            <w:r>
              <w:rPr>
                <w:rFonts w:hint="eastAsia" w:hAnsi="宋体"/>
                <w:szCs w:val="21"/>
                <w:lang w:val="en-US" w:eastAsia="zh-CN"/>
              </w:rPr>
              <w:t>跨闸</w:t>
            </w:r>
            <w:r>
              <w:rPr>
                <w:rFonts w:hint="eastAsia" w:hAnsi="宋体"/>
                <w:szCs w:val="21"/>
              </w:rPr>
              <w:t>桥梁等水运基础设施</w:t>
            </w:r>
            <w:r>
              <w:rPr>
                <w:rFonts w:hint="eastAsia" w:hAnsi="宋体"/>
                <w:szCs w:val="21"/>
                <w:lang w:eastAsia="zh-CN"/>
              </w:rPr>
              <w:t>，</w:t>
            </w:r>
            <w:r>
              <w:rPr>
                <w:rFonts w:hint="eastAsia" w:hAnsi="宋体"/>
                <w:szCs w:val="21"/>
              </w:rPr>
              <w:t>水运设施在长期运行中会产生缺陷或病害，会对结构安全造成隐患，甚至会危及到人民群众的生命安全。目前迫切需要通过智能化手段加强对水运设施健康状态的动态监测。国家《十四五现代综合交通运输体系发展规划》提出，要推动既有设施数字化改造升级，加强新建设施与感知网络同步规划建设。构建设施运行状态感知系统，加强重要通道和枢纽数字化感知监测覆盖，增强关键交通基础设施和重要节点全天候、全周期运行状态监测和主动预警能力。</w:t>
            </w:r>
          </w:p>
          <w:p w14:paraId="31A66149">
            <w:pPr>
              <w:pStyle w:val="4"/>
              <w:adjustRightInd w:val="0"/>
              <w:spacing w:line="360" w:lineRule="auto"/>
              <w:contextualSpacing/>
              <w:rPr>
                <w:rFonts w:hint="eastAsia" w:hAnsi="宋体"/>
                <w:szCs w:val="21"/>
              </w:rPr>
            </w:pPr>
            <w:r>
              <w:rPr>
                <w:rFonts w:hint="eastAsia" w:hAnsi="宋体"/>
                <w:szCs w:val="21"/>
              </w:rPr>
              <w:t>目前我省没有相关的内河水运设施健康监测数据采集标准。《JTJ 287-2005 内河航道维护技术规范》《JTS 310-2013 港口设施维护技术规范》《JTS 320-2-2018 通航建筑物维护技术规范》《混凝土大坝安全监测技术规范》《公路桥梁结构安全监测系统技术规程》等规范、规程的制定为我国水运设施及其关键设备的维护、监测提供了很好的指导，但其中的主体内容只是指出了具体的监测的方式，对于</w:t>
            </w:r>
            <w:r>
              <w:rPr>
                <w:rFonts w:hint="eastAsia" w:hAnsi="宋体"/>
                <w:szCs w:val="21"/>
                <w:lang w:val="en-US" w:eastAsia="zh-CN"/>
              </w:rPr>
              <w:t>具体水运设施结构监测数据分析与预警</w:t>
            </w:r>
            <w:r>
              <w:rPr>
                <w:rFonts w:hint="eastAsia" w:hAnsi="宋体"/>
                <w:szCs w:val="21"/>
              </w:rPr>
              <w:t>没有提及。</w:t>
            </w:r>
          </w:p>
          <w:p w14:paraId="6322DC84">
            <w:pPr>
              <w:pStyle w:val="4"/>
              <w:adjustRightInd w:val="0"/>
              <w:spacing w:line="360" w:lineRule="auto"/>
              <w:contextualSpacing/>
              <w:rPr>
                <w:rFonts w:hint="eastAsia" w:hAnsi="宋体"/>
                <w:szCs w:val="21"/>
              </w:rPr>
            </w:pPr>
            <w:r>
              <w:rPr>
                <w:rFonts w:hint="eastAsia" w:hAnsi="宋体"/>
                <w:szCs w:val="21"/>
              </w:rPr>
              <w:t>通过本标准的研究和编制，聚焦内河水运设施健康状况，以预防船闸、港口、桥梁重大安全事故为目标，以结构病害分析诊断为核心，以物联网、云计算、大数据等技术为支撑，建立“风险识别、重点感知、分析研判、辅助决策”能力，构建水运设施运行健康状况整体监测、动态体检、早期预警和高效应对体系，实现水运设施健康运行“从看不见向看得见、从事后调查处置向事前事中预警、从被动应对向主动防控”的转变。</w:t>
            </w:r>
          </w:p>
          <w:p w14:paraId="4B22EE56">
            <w:pPr>
              <w:pStyle w:val="4"/>
              <w:adjustRightInd w:val="0"/>
              <w:spacing w:line="360" w:lineRule="auto"/>
              <w:ind w:left="0" w:leftChars="0" w:firstLine="0" w:firstLineChars="0"/>
              <w:contextualSpacing/>
              <w:rPr>
                <w:rFonts w:hAnsi="宋体"/>
                <w:b/>
                <w:szCs w:val="21"/>
              </w:rPr>
            </w:pPr>
            <w:r>
              <w:rPr>
                <w:rFonts w:hint="eastAsia" w:hAnsi="宋体"/>
                <w:b/>
                <w:szCs w:val="21"/>
                <w:lang w:val="en-US" w:eastAsia="zh-CN"/>
              </w:rPr>
              <w:t>意义</w:t>
            </w:r>
            <w:r>
              <w:rPr>
                <w:rFonts w:hint="eastAsia" w:hAnsi="宋体"/>
                <w:b/>
                <w:szCs w:val="21"/>
              </w:rPr>
              <w:t>：</w:t>
            </w:r>
          </w:p>
          <w:p w14:paraId="753C636F">
            <w:pPr>
              <w:pStyle w:val="4"/>
              <w:adjustRightInd w:val="0"/>
              <w:spacing w:line="360" w:lineRule="auto"/>
              <w:contextualSpacing/>
              <w:rPr>
                <w:rFonts w:hint="eastAsia" w:ascii="FPEF" w:hAnsi="FPEF" w:eastAsia="FPEF" w:cs="Times New Roman"/>
                <w:lang w:val="en-US" w:eastAsia="zh-CN"/>
              </w:rPr>
            </w:pPr>
            <w:r>
              <w:rPr>
                <w:rFonts w:hint="eastAsia" w:ascii="FPEF" w:hAnsi="FPEF" w:eastAsia="FPEF" w:cs="Times New Roman"/>
                <w:lang w:val="en-US" w:eastAsia="zh-CN"/>
              </w:rPr>
              <w:t>数据分析与预警是内河水运设施健康监测与预警技术的核心部分，对完成该技术的研究具有重要意义。</w:t>
            </w:r>
          </w:p>
          <w:p w14:paraId="279F5BEF">
            <w:pPr>
              <w:pStyle w:val="4"/>
              <w:adjustRightInd w:val="0"/>
              <w:spacing w:line="360" w:lineRule="auto"/>
              <w:ind w:firstLine="420" w:firstLineChars="200"/>
              <w:contextualSpacing/>
              <w:rPr>
                <w:rFonts w:hint="eastAsia" w:ascii="FPEF" w:hAnsi="FPEF" w:eastAsia="FPEF" w:cs="Times New Roman"/>
                <w:lang w:val="en-US" w:eastAsia="zh-CN"/>
              </w:rPr>
            </w:pPr>
            <w:r>
              <w:rPr>
                <w:rFonts w:hint="eastAsia" w:ascii="FPEF" w:hAnsi="FPEF" w:eastAsia="FPEF" w:cs="Times New Roman"/>
                <w:lang w:val="en-US" w:eastAsia="zh-CN"/>
              </w:rPr>
              <w:t>1.全局性。对内河水运设施的平台技术要求进行统一，规划内河水运设施健康监测与预警平台的系统架构、平台功能、运行环境、数据管理、系统运维、系统安全等技术要求，实现水运设施的设计、建设、运营、养护、维修、检测、监测各类数据互联互通，推动行业健康监测大数据服务中心建设，推进水运设施全寿命周期健康管理实现。</w:t>
            </w:r>
          </w:p>
          <w:p w14:paraId="2549E5C0">
            <w:pPr>
              <w:pStyle w:val="4"/>
              <w:adjustRightInd w:val="0"/>
              <w:spacing w:line="360" w:lineRule="auto"/>
              <w:ind w:firstLine="420" w:firstLineChars="200"/>
              <w:contextualSpacing/>
              <w:rPr>
                <w:rFonts w:hint="eastAsia" w:ascii="FPEF" w:hAnsi="FPEF" w:eastAsia="FPEF" w:cs="Times New Roman"/>
                <w:lang w:val="en-US" w:eastAsia="zh-CN"/>
              </w:rPr>
            </w:pPr>
            <w:r>
              <w:rPr>
                <w:rFonts w:hint="eastAsia" w:ascii="FPEF" w:hAnsi="FPEF" w:eastAsia="FPEF" w:cs="Times New Roman"/>
                <w:lang w:val="en-US" w:eastAsia="zh-CN"/>
              </w:rPr>
              <w:t>2.跨越性。目前现行的相关行业标准、技术规范，对水运设施及其关键设备的人工监测方法，监测仪器设备、监测要求等方面进行了规定，但缺乏自动化监测方法、评估、分析方面的技术要求。在通过深入调查研究国内外交通设施健康监测平台的实际案例，总结近年来水运设施自动化监测应用成果和经验的基础上，得出了该标准。</w:t>
            </w:r>
          </w:p>
          <w:p w14:paraId="1E155250">
            <w:pPr>
              <w:pStyle w:val="4"/>
              <w:adjustRightInd w:val="0"/>
              <w:spacing w:line="360" w:lineRule="auto"/>
              <w:ind w:firstLine="420" w:firstLineChars="200"/>
              <w:contextualSpacing/>
              <w:rPr>
                <w:rFonts w:hint="eastAsia" w:ascii="FPEF" w:hAnsi="FPEF" w:eastAsia="FPEF" w:cs="Times New Roman"/>
                <w:lang w:val="en-US" w:eastAsia="zh-CN"/>
              </w:rPr>
            </w:pPr>
            <w:r>
              <w:rPr>
                <w:rFonts w:hint="eastAsia" w:ascii="FPEF" w:hAnsi="FPEF" w:eastAsia="FPEF" w:cs="Times New Roman"/>
                <w:lang w:val="en-US" w:eastAsia="zh-CN"/>
              </w:rPr>
              <w:t>3.开放性。该标准从拟打造统一水运基础设施健康监测和服务体系，提出健康管理的云化解决思路，而不仅仅是设施设备状态的数据上云，还包含了云诊断、云化运维管理和专家云端支持，在线上为全省水运设施建管养运全过程的管理人员和技术人员提供开放性技术支撑。</w:t>
            </w:r>
          </w:p>
          <w:p w14:paraId="781D3CA0">
            <w:pPr>
              <w:pStyle w:val="4"/>
              <w:adjustRightInd w:val="0"/>
              <w:spacing w:line="360" w:lineRule="auto"/>
              <w:ind w:firstLine="420" w:firstLineChars="200"/>
              <w:contextualSpacing/>
              <w:rPr>
                <w:rFonts w:hAnsi="宋体"/>
                <w:szCs w:val="21"/>
              </w:rPr>
            </w:pPr>
            <w:r>
              <w:rPr>
                <w:rFonts w:hint="eastAsia" w:ascii="FPEF" w:hAnsi="FPEF" w:eastAsia="FPEF" w:cs="Times New Roman"/>
                <w:lang w:val="en-US" w:eastAsia="zh-CN"/>
              </w:rPr>
              <w:t>4.创新性。目前我国科技创新能力不断加强，基础设施建设进一步加快，但省内对于内河水运设施健康平台技术标准的研究却是空白。开展此项工作，能够建立先进的水运设施健康监测及预警体系，从而实现风险提前预知，事件提前防范的目的。本标准的编制，可以使我省内河水运设施健康监测数据采集工作的实施和管理有章可依，为内河水运设施健康监测和预警提供保障，具有良好的经济效益和社会效益。</w:t>
            </w:r>
          </w:p>
        </w:tc>
      </w:tr>
      <w:tr w14:paraId="46105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4D787930">
            <w:pPr>
              <w:pStyle w:val="4"/>
              <w:adjustRightInd w:val="0"/>
              <w:spacing w:line="360" w:lineRule="auto"/>
              <w:ind w:firstLine="0" w:firstLineChars="0"/>
              <w:contextualSpacing/>
              <w:rPr>
                <w:rFonts w:hAnsi="宋体"/>
                <w:szCs w:val="21"/>
              </w:rPr>
            </w:pPr>
            <w:r>
              <w:rPr>
                <w:rFonts w:hint="eastAsia" w:hAnsi="宋体"/>
                <w:szCs w:val="21"/>
              </w:rPr>
              <w:t>3、制定标准的原则和依据，与现行法律法规、标准的关系</w:t>
            </w:r>
          </w:p>
        </w:tc>
      </w:tr>
      <w:tr w14:paraId="6C260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088AD95F">
            <w:pPr>
              <w:numPr>
                <w:ilvl w:val="0"/>
                <w:numId w:val="0"/>
              </w:numPr>
              <w:ind w:left="422" w:leftChars="0"/>
              <w:jc w:val="left"/>
              <w:rPr>
                <w:rFonts w:hint="eastAsia" w:ascii="FPEF" w:hAnsi="FPEF" w:eastAsia="FPEF" w:cs="Times New Roman"/>
                <w:b/>
                <w:bCs/>
              </w:rPr>
            </w:pPr>
            <w:r>
              <w:rPr>
                <w:rFonts w:hint="eastAsia" w:ascii="FPEF" w:hAnsi="FPEF" w:eastAsia="FPEF" w:cs="Times New Roman"/>
                <w:b/>
                <w:bCs/>
              </w:rPr>
              <w:t>标准编制原则</w:t>
            </w:r>
          </w:p>
          <w:p w14:paraId="682F3F65">
            <w:pPr>
              <w:ind w:firstLine="420" w:firstLineChars="200"/>
              <w:jc w:val="left"/>
              <w:rPr>
                <w:rFonts w:hint="eastAsia" w:ascii="FPEF" w:hAnsi="FPEF" w:eastAsia="FPEF" w:cs="Times New Roman"/>
              </w:rPr>
            </w:pPr>
            <w:r>
              <w:rPr>
                <w:rFonts w:hint="eastAsia" w:ascii="FPEF" w:hAnsi="FPEF" w:eastAsia="FPEF" w:cs="Times New Roman"/>
              </w:rPr>
              <w:t>①科学性原则：标准内容必须以科学成果和先进经验为基础，并经过严格的科学论证。</w:t>
            </w:r>
          </w:p>
          <w:p w14:paraId="413D26BD">
            <w:pPr>
              <w:ind w:firstLine="420" w:firstLineChars="200"/>
              <w:jc w:val="left"/>
              <w:rPr>
                <w:rFonts w:hint="eastAsia" w:ascii="FPEF" w:hAnsi="FPEF" w:eastAsia="FPEF" w:cs="Times New Roman"/>
              </w:rPr>
            </w:pPr>
            <w:r>
              <w:rPr>
                <w:rFonts w:hint="eastAsia" w:ascii="FPEF" w:hAnsi="FPEF" w:eastAsia="FPEF" w:cs="Times New Roman"/>
              </w:rPr>
              <w:t>②准确性原则：标准内容的措辞应准确、清楚、符合逻辑，避免模棱两可。</w:t>
            </w:r>
          </w:p>
          <w:p w14:paraId="78E3E712">
            <w:pPr>
              <w:ind w:firstLine="420" w:firstLineChars="200"/>
              <w:jc w:val="left"/>
              <w:rPr>
                <w:rFonts w:hint="eastAsia" w:ascii="FPEF" w:hAnsi="FPEF" w:eastAsia="FPEF" w:cs="Times New Roman"/>
              </w:rPr>
            </w:pPr>
            <w:r>
              <w:rPr>
                <w:rFonts w:hint="eastAsia" w:ascii="FPEF" w:hAnsi="FPEF" w:eastAsia="FPEF" w:cs="Times New Roman"/>
              </w:rPr>
              <w:t>③简明性原则：标准内容应简洁明了、通俗易懂。</w:t>
            </w:r>
          </w:p>
          <w:p w14:paraId="79D48529">
            <w:pPr>
              <w:ind w:firstLine="420" w:firstLineChars="200"/>
              <w:jc w:val="left"/>
              <w:rPr>
                <w:rFonts w:hint="eastAsia" w:ascii="FPEF" w:hAnsi="FPEF" w:eastAsia="FPEF" w:cs="Times New Roman"/>
              </w:rPr>
            </w:pPr>
            <w:r>
              <w:rPr>
                <w:rFonts w:hint="eastAsia" w:ascii="FPEF" w:hAnsi="FPEF" w:eastAsia="FPEF" w:cs="Times New Roman"/>
              </w:rPr>
              <w:t>④统一性原则：标准内容应符合国家有关法律、法规，并与现行的有关标准规范相协调。</w:t>
            </w:r>
          </w:p>
          <w:p w14:paraId="503D5545">
            <w:pPr>
              <w:numPr>
                <w:ilvl w:val="0"/>
                <w:numId w:val="0"/>
              </w:numPr>
              <w:ind w:left="422" w:leftChars="0"/>
              <w:jc w:val="left"/>
              <w:rPr>
                <w:rFonts w:hint="eastAsia" w:ascii="FPEF" w:hAnsi="FPEF" w:eastAsia="FPEF" w:cs="Times New Roman"/>
                <w:b/>
                <w:bCs/>
              </w:rPr>
            </w:pPr>
            <w:r>
              <w:rPr>
                <w:rFonts w:hint="eastAsia" w:ascii="FPEF" w:hAnsi="FPEF" w:eastAsia="FPEF" w:cs="Times New Roman"/>
                <w:b/>
                <w:bCs/>
              </w:rPr>
              <w:t>与国家法律法规、强制性标准及相关标准的关系</w:t>
            </w:r>
          </w:p>
          <w:p w14:paraId="75E34244">
            <w:pPr>
              <w:ind w:firstLine="420" w:firstLineChars="200"/>
              <w:jc w:val="left"/>
              <w:rPr>
                <w:rFonts w:hint="eastAsia" w:ascii="FPEF" w:hAnsi="FPEF" w:eastAsia="FPEF" w:cs="Times New Roman"/>
              </w:rPr>
            </w:pPr>
            <w:r>
              <w:rPr>
                <w:rFonts w:hint="eastAsia" w:ascii="FPEF" w:hAnsi="FPEF" w:eastAsia="FPEF" w:cs="Times New Roman"/>
              </w:rPr>
              <w:t>本标准无违反相关法律法规及强制性标准的条款。目前已发布的国家标准、行业标准、安徽地方标准均无全面的内河水运基础设施健康监测与预警监测技术规范要求。</w:t>
            </w:r>
          </w:p>
          <w:p w14:paraId="68C50CD6">
            <w:pPr>
              <w:numPr>
                <w:ilvl w:val="0"/>
                <w:numId w:val="0"/>
              </w:numPr>
              <w:ind w:left="422" w:leftChars="0"/>
              <w:jc w:val="left"/>
              <w:rPr>
                <w:rFonts w:hint="eastAsia" w:ascii="FPEF" w:hAnsi="FPEF" w:eastAsia="FPEF"/>
                <w:b/>
                <w:bCs/>
              </w:rPr>
            </w:pPr>
            <w:r>
              <w:rPr>
                <w:rFonts w:hint="eastAsia" w:ascii="FPEF" w:hAnsi="FPEF" w:eastAsia="FPEF"/>
                <w:b/>
                <w:bCs/>
              </w:rPr>
              <w:t>本标准依据的国家和本省相关法律法规、政策以及标准：</w:t>
            </w:r>
          </w:p>
          <w:p w14:paraId="38475FCF">
            <w:pPr>
              <w:ind w:firstLine="420" w:firstLineChars="200"/>
              <w:jc w:val="left"/>
              <w:rPr>
                <w:rFonts w:hint="eastAsia" w:ascii="FPEF" w:hAnsi="FPEF" w:eastAsia="FPEF" w:cs="Times New Roman"/>
              </w:rPr>
            </w:pPr>
            <w:r>
              <w:rPr>
                <w:rFonts w:hint="eastAsia" w:ascii="FPEF" w:hAnsi="FPEF" w:eastAsia="FPEF" w:cs="Times New Roman"/>
              </w:rPr>
              <w:t>在制定标准过程中，工作组严格遵循以下标准化法律、法规、规范的规定，作为本标准起草的重要依据：</w:t>
            </w:r>
          </w:p>
          <w:p w14:paraId="67786F3C">
            <w:pPr>
              <w:ind w:firstLine="420" w:firstLineChars="200"/>
              <w:jc w:val="left"/>
              <w:rPr>
                <w:rFonts w:hint="eastAsia" w:ascii="FPEF" w:hAnsi="FPEF" w:eastAsia="FPEF" w:cs="Times New Roman"/>
              </w:rPr>
            </w:pPr>
            <w:r>
              <w:rPr>
                <w:rFonts w:hint="eastAsia" w:ascii="FPEF" w:hAnsi="FPEF" w:eastAsia="FPEF" w:cs="Times New Roman"/>
              </w:rPr>
              <w:t>①《中华人民共和国标准化法》、《中华人民共和国标准化法实施条例》等法律、法规及制度；</w:t>
            </w:r>
          </w:p>
          <w:p w14:paraId="792D99C7">
            <w:pPr>
              <w:ind w:firstLine="420" w:firstLineChars="200"/>
              <w:jc w:val="left"/>
              <w:rPr>
                <w:rFonts w:hint="eastAsia" w:ascii="FPEF" w:hAnsi="FPEF" w:eastAsia="FPEF" w:cs="Times New Roman"/>
              </w:rPr>
            </w:pPr>
            <w:r>
              <w:rPr>
                <w:rFonts w:hint="eastAsia" w:ascii="FPEF" w:hAnsi="FPEF" w:eastAsia="FPEF" w:cs="Times New Roman"/>
              </w:rPr>
              <w:t>②《GBT 1.1-2020 标准化工作导则 第 1 部分：标准化文件的结构和起草规则》（标准文本的结构、格式主要依据本标准）；</w:t>
            </w:r>
          </w:p>
          <w:p w14:paraId="0226C55D">
            <w:pPr>
              <w:ind w:firstLine="420" w:firstLineChars="200"/>
              <w:jc w:val="left"/>
              <w:rPr>
                <w:rFonts w:hint="eastAsia" w:ascii="FPEF" w:hAnsi="FPEF" w:eastAsia="FPEF" w:cs="Times New Roman"/>
                <w:lang w:eastAsia="zh-CN"/>
              </w:rPr>
            </w:pPr>
            <w:r>
              <w:rPr>
                <w:rFonts w:hint="eastAsia" w:ascii="FPEF" w:hAnsi="FPEF" w:eastAsia="FPEF" w:cs="Times New Roman"/>
              </w:rPr>
              <w:t>GB/T 32630  非结构化数据管理系统技术要求</w:t>
            </w:r>
            <w:r>
              <w:rPr>
                <w:rFonts w:hint="eastAsia" w:ascii="FPEF" w:hAnsi="FPEF" w:eastAsia="FPEF" w:cs="Times New Roman"/>
                <w:lang w:eastAsia="zh-CN"/>
              </w:rPr>
              <w:t>；</w:t>
            </w:r>
          </w:p>
          <w:p w14:paraId="6AFE457E">
            <w:pPr>
              <w:ind w:firstLine="420" w:firstLineChars="200"/>
              <w:jc w:val="left"/>
              <w:rPr>
                <w:rFonts w:hint="eastAsia" w:ascii="FPEF" w:hAnsi="FPEF" w:eastAsia="FPEF" w:cs="Times New Roman"/>
                <w:lang w:eastAsia="zh-CN"/>
              </w:rPr>
            </w:pPr>
            <w:r>
              <w:rPr>
                <w:rFonts w:hint="eastAsia" w:ascii="FPEF" w:hAnsi="FPEF" w:eastAsia="FPEF" w:cs="Times New Roman"/>
              </w:rPr>
              <w:t>GB/T 36344  信息技术　数据质量评价指标</w:t>
            </w:r>
            <w:r>
              <w:rPr>
                <w:rFonts w:hint="eastAsia" w:ascii="FPEF" w:hAnsi="FPEF" w:eastAsia="FPEF" w:cs="Times New Roman"/>
                <w:lang w:eastAsia="zh-CN"/>
              </w:rPr>
              <w:t>；</w:t>
            </w:r>
          </w:p>
          <w:p w14:paraId="448301F9">
            <w:pPr>
              <w:ind w:firstLine="420" w:firstLineChars="200"/>
              <w:jc w:val="left"/>
              <w:rPr>
                <w:rFonts w:hint="eastAsia" w:ascii="FPEF" w:hAnsi="FPEF" w:eastAsia="FPEF" w:cs="Times New Roman"/>
                <w:lang w:eastAsia="zh-CN"/>
              </w:rPr>
            </w:pPr>
            <w:r>
              <w:rPr>
                <w:rFonts w:hint="eastAsia" w:ascii="FPEF" w:hAnsi="FPEF" w:eastAsia="FPEF" w:cs="Times New Roman"/>
              </w:rPr>
              <w:t>GB/T 37025  信息安全技术　物联网数据传输安全技术要求</w:t>
            </w:r>
            <w:r>
              <w:rPr>
                <w:rFonts w:hint="eastAsia" w:ascii="FPEF" w:hAnsi="FPEF" w:eastAsia="FPEF" w:cs="Times New Roman"/>
                <w:lang w:eastAsia="zh-CN"/>
              </w:rPr>
              <w:t>；</w:t>
            </w:r>
          </w:p>
          <w:p w14:paraId="54591277">
            <w:pPr>
              <w:ind w:firstLine="420" w:firstLineChars="200"/>
              <w:jc w:val="left"/>
              <w:rPr>
                <w:rFonts w:hint="eastAsia" w:ascii="FPEF" w:hAnsi="FPEF" w:eastAsia="FPEF" w:cs="Times New Roman"/>
                <w:lang w:eastAsia="zh-CN"/>
              </w:rPr>
            </w:pPr>
            <w:r>
              <w:rPr>
                <w:rFonts w:hint="eastAsia" w:ascii="FPEF" w:hAnsi="FPEF" w:eastAsia="FPEF" w:cs="Times New Roman"/>
              </w:rPr>
              <w:t>GB/T 38637 物联网 感知控制设备接入</w:t>
            </w:r>
            <w:r>
              <w:rPr>
                <w:rFonts w:hint="eastAsia" w:ascii="FPEF" w:hAnsi="FPEF" w:eastAsia="FPEF" w:cs="Times New Roman"/>
                <w:lang w:eastAsia="zh-CN"/>
              </w:rPr>
              <w:t>；</w:t>
            </w:r>
          </w:p>
          <w:p w14:paraId="4B39D148">
            <w:pPr>
              <w:ind w:firstLine="420" w:firstLineChars="200"/>
              <w:jc w:val="left"/>
              <w:rPr>
                <w:rFonts w:hint="eastAsia" w:ascii="FPEF" w:hAnsi="FPEF" w:eastAsia="FPEF" w:cs="Times New Roman"/>
                <w:lang w:eastAsia="zh-CN"/>
              </w:rPr>
            </w:pPr>
            <w:r>
              <w:rPr>
                <w:rFonts w:hint="eastAsia" w:ascii="FPEF" w:hAnsi="FPEF" w:eastAsia="FPEF" w:cs="Times New Roman"/>
              </w:rPr>
              <w:t>GB 50158  港口工程结构可靠性设计统一标准</w:t>
            </w:r>
            <w:r>
              <w:rPr>
                <w:rFonts w:hint="eastAsia" w:ascii="FPEF" w:hAnsi="FPEF" w:eastAsia="FPEF" w:cs="Times New Roman"/>
                <w:lang w:eastAsia="zh-CN"/>
              </w:rPr>
              <w:t>；</w:t>
            </w:r>
          </w:p>
          <w:p w14:paraId="21AE97B4">
            <w:pPr>
              <w:ind w:firstLine="420" w:firstLineChars="200"/>
              <w:jc w:val="left"/>
              <w:rPr>
                <w:rFonts w:hint="eastAsia" w:ascii="FPEF" w:hAnsi="FPEF" w:eastAsia="FPEF" w:cs="Times New Roman"/>
                <w:lang w:eastAsia="zh-CN"/>
              </w:rPr>
            </w:pPr>
            <w:r>
              <w:rPr>
                <w:rFonts w:hint="eastAsia" w:ascii="FPEF" w:hAnsi="FPEF" w:eastAsia="FPEF" w:cs="Times New Roman"/>
              </w:rPr>
              <w:t>JTS 304  水运工程水工建筑物检测与评估技术规范</w:t>
            </w:r>
            <w:r>
              <w:rPr>
                <w:rFonts w:hint="eastAsia" w:ascii="FPEF" w:hAnsi="FPEF" w:eastAsia="FPEF" w:cs="Times New Roman"/>
                <w:lang w:eastAsia="zh-CN"/>
              </w:rPr>
              <w:t>；</w:t>
            </w:r>
          </w:p>
          <w:p w14:paraId="49754C26">
            <w:pPr>
              <w:ind w:firstLine="420" w:firstLineChars="200"/>
              <w:jc w:val="left"/>
              <w:rPr>
                <w:rFonts w:hint="eastAsia" w:ascii="FPEF" w:hAnsi="FPEF" w:eastAsia="FPEF" w:cs="Times New Roman"/>
                <w:lang w:eastAsia="zh-CN"/>
              </w:rPr>
            </w:pPr>
            <w:r>
              <w:rPr>
                <w:rFonts w:hint="eastAsia" w:ascii="FPEF" w:hAnsi="FPEF" w:eastAsia="FPEF" w:cs="Times New Roman"/>
              </w:rPr>
              <w:t>JT∕T 1037  公路桥梁结构监测技术规范</w:t>
            </w:r>
            <w:r>
              <w:rPr>
                <w:rFonts w:hint="eastAsia" w:ascii="FPEF" w:hAnsi="FPEF" w:eastAsia="FPEF" w:cs="Times New Roman"/>
                <w:lang w:eastAsia="zh-CN"/>
              </w:rPr>
              <w:t>；</w:t>
            </w:r>
          </w:p>
          <w:p w14:paraId="748D0FB9">
            <w:pPr>
              <w:ind w:firstLine="420" w:firstLineChars="200"/>
              <w:jc w:val="left"/>
              <w:rPr>
                <w:rFonts w:hint="eastAsia" w:ascii="FPEF" w:hAnsi="FPEF" w:eastAsia="FPEF" w:cs="Times New Roman"/>
                <w:lang w:eastAsia="zh-CN"/>
              </w:rPr>
            </w:pPr>
            <w:r>
              <w:rPr>
                <w:rFonts w:hint="eastAsia" w:ascii="FPEF" w:hAnsi="FPEF" w:eastAsia="FPEF" w:cs="Times New Roman"/>
              </w:rPr>
              <w:t>JTG/T H21  公路桥梁技术状况评定标准</w:t>
            </w:r>
            <w:r>
              <w:rPr>
                <w:rFonts w:hint="eastAsia" w:ascii="FPEF" w:hAnsi="FPEF" w:eastAsia="FPEF" w:cs="Times New Roman"/>
                <w:lang w:eastAsia="zh-CN"/>
              </w:rPr>
              <w:t>；</w:t>
            </w:r>
          </w:p>
          <w:p w14:paraId="4D778110">
            <w:pPr>
              <w:ind w:firstLine="420" w:firstLineChars="200"/>
              <w:jc w:val="left"/>
              <w:rPr>
                <w:rFonts w:hint="eastAsia" w:ascii="FPEF" w:hAnsi="FPEF" w:eastAsia="FPEF" w:cs="Times New Roman"/>
                <w:lang w:eastAsia="zh-CN"/>
              </w:rPr>
            </w:pPr>
            <w:r>
              <w:rPr>
                <w:rFonts w:hint="eastAsia" w:ascii="FPEF" w:hAnsi="FPEF" w:eastAsia="FPEF" w:cs="Times New Roman"/>
              </w:rPr>
              <w:t>JTG D60  公路桥涵设计通用规范</w:t>
            </w:r>
            <w:r>
              <w:rPr>
                <w:rFonts w:hint="eastAsia" w:ascii="FPEF" w:hAnsi="FPEF" w:eastAsia="FPEF" w:cs="Times New Roman"/>
                <w:lang w:eastAsia="zh-CN"/>
              </w:rPr>
              <w:t>；</w:t>
            </w:r>
          </w:p>
          <w:p w14:paraId="16F44400">
            <w:pPr>
              <w:ind w:firstLine="420" w:firstLineChars="200"/>
              <w:jc w:val="left"/>
              <w:rPr>
                <w:rFonts w:hint="eastAsia" w:hAnsi="宋体" w:eastAsia="FPEF"/>
                <w:szCs w:val="21"/>
                <w:lang w:eastAsia="zh-CN"/>
              </w:rPr>
            </w:pPr>
            <w:r>
              <w:rPr>
                <w:rFonts w:hint="eastAsia" w:ascii="FPEF" w:hAnsi="FPEF" w:eastAsia="FPEF" w:cs="Times New Roman"/>
              </w:rPr>
              <w:t>JTG 5120  公路桥涵养护规范</w:t>
            </w:r>
            <w:r>
              <w:rPr>
                <w:rFonts w:hint="eastAsia" w:ascii="FPEF" w:hAnsi="FPEF" w:eastAsia="FPEF" w:cs="Times New Roman"/>
                <w:lang w:eastAsia="zh-CN"/>
              </w:rPr>
              <w:t>。</w:t>
            </w:r>
          </w:p>
        </w:tc>
      </w:tr>
      <w:tr w14:paraId="48652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5737A096">
            <w:pPr>
              <w:pStyle w:val="4"/>
              <w:adjustRightInd w:val="0"/>
              <w:spacing w:line="360" w:lineRule="auto"/>
              <w:ind w:firstLine="0" w:firstLineChars="0"/>
              <w:contextualSpacing/>
              <w:rPr>
                <w:rFonts w:hAnsi="宋体"/>
                <w:szCs w:val="21"/>
              </w:rPr>
            </w:pPr>
            <w:r>
              <w:rPr>
                <w:rFonts w:hint="eastAsia" w:hAnsi="宋体"/>
                <w:szCs w:val="21"/>
              </w:rPr>
              <w:t>4、主要条款的说明，主要技术指标、参数、试验验证的论述（</w:t>
            </w:r>
            <w:r>
              <w:rPr>
                <w:rFonts w:hint="eastAsia" w:hAnsi="宋体"/>
                <w:b/>
                <w:szCs w:val="21"/>
              </w:rPr>
              <w:t>详细说明</w:t>
            </w:r>
            <w:r>
              <w:rPr>
                <w:rFonts w:hint="eastAsia" w:hAnsi="宋体"/>
                <w:szCs w:val="21"/>
              </w:rPr>
              <w:t>）</w:t>
            </w:r>
          </w:p>
        </w:tc>
      </w:tr>
      <w:tr w14:paraId="7E0B7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646A0B7E">
            <w:pPr>
              <w:ind w:firstLine="422" w:firstLineChars="200"/>
              <w:jc w:val="left"/>
              <w:rPr>
                <w:rFonts w:hint="default" w:ascii="FPEF" w:hAnsi="FPEF" w:eastAsia="FPEF" w:cs="Times New Roman"/>
                <w:b/>
                <w:bCs/>
                <w:lang w:val="en-US" w:eastAsia="zh-CN"/>
              </w:rPr>
            </w:pPr>
            <w:r>
              <w:rPr>
                <w:rFonts w:hint="eastAsia" w:ascii="FPEF" w:hAnsi="FPEF" w:eastAsia="FPEF" w:cs="Times New Roman"/>
                <w:b/>
                <w:bCs/>
                <w:lang w:val="en-US" w:eastAsia="zh-CN"/>
              </w:rPr>
              <w:t>主要条款：</w:t>
            </w:r>
          </w:p>
          <w:p w14:paraId="07AABCD6">
            <w:pPr>
              <w:ind w:firstLine="420" w:firstLineChars="200"/>
              <w:jc w:val="left"/>
              <w:rPr>
                <w:rFonts w:hint="default" w:ascii="FPEF" w:hAnsi="FPEF" w:eastAsia="FPEF" w:cs="Times New Roman"/>
                <w:lang w:val="en-US" w:eastAsia="zh-CN"/>
              </w:rPr>
            </w:pPr>
            <w:r>
              <w:rPr>
                <w:rFonts w:hint="eastAsia" w:ascii="FPEF" w:hAnsi="FPEF" w:eastAsia="FPEF" w:cs="Times New Roman"/>
              </w:rPr>
              <w:t>本标准的章节由：</w:t>
            </w:r>
            <w:r>
              <w:rPr>
                <w:rFonts w:hint="eastAsia" w:ascii="FPEF" w:hAnsi="FPEF" w:eastAsia="FPEF" w:cs="Times New Roman"/>
                <w:lang w:val="en-US" w:eastAsia="zh-CN"/>
              </w:rPr>
              <w:t>范围、规范引用文件、</w:t>
            </w:r>
            <w:r>
              <w:rPr>
                <w:rFonts w:hint="eastAsia" w:ascii="FPEF" w:hAnsi="FPEF" w:eastAsia="FPEF" w:cs="Times New Roman"/>
              </w:rPr>
              <w:t>术语和定义、基本</w:t>
            </w:r>
            <w:r>
              <w:rPr>
                <w:rFonts w:hint="eastAsia" w:ascii="FPEF" w:hAnsi="FPEF" w:eastAsia="FPEF" w:cs="Times New Roman"/>
                <w:lang w:val="en-US" w:eastAsia="zh-CN"/>
              </w:rPr>
              <w:t>规定</w:t>
            </w:r>
            <w:r>
              <w:rPr>
                <w:rFonts w:hint="eastAsia" w:ascii="FPEF" w:hAnsi="FPEF" w:eastAsia="FPEF" w:cs="Times New Roman"/>
              </w:rPr>
              <w:t>、</w:t>
            </w:r>
            <w:r>
              <w:rPr>
                <w:rFonts w:hint="eastAsia" w:ascii="FPEF" w:hAnsi="FPEF" w:eastAsia="FPEF" w:cs="Times New Roman"/>
                <w:lang w:val="en-US" w:eastAsia="zh-CN"/>
              </w:rPr>
              <w:t>实时</w:t>
            </w:r>
            <w:r>
              <w:rPr>
                <w:rFonts w:hint="eastAsia" w:ascii="FPEF" w:hAnsi="FPEF" w:eastAsia="FPEF" w:cs="Times New Roman"/>
              </w:rPr>
              <w:t>监测、数据分析、预警管理、应急处置、评估决策以及数据管理等内容。</w:t>
            </w:r>
          </w:p>
          <w:p w14:paraId="26FB0F22">
            <w:pPr>
              <w:ind w:firstLine="420" w:firstLineChars="200"/>
              <w:jc w:val="left"/>
              <w:rPr>
                <w:rFonts w:hint="eastAsia" w:ascii="FPEF" w:hAnsi="FPEF" w:eastAsia="FPEF" w:cs="Times New Roman"/>
              </w:rPr>
            </w:pPr>
            <w:r>
              <w:rPr>
                <w:rFonts w:hint="eastAsia" w:ascii="FPEF" w:hAnsi="FPEF" w:eastAsia="FPEF" w:cs="Times New Roman"/>
              </w:rPr>
              <w:t>本文件适用于内河水运设施健康监测数据分析、预警和管理工作的实施。</w:t>
            </w:r>
          </w:p>
          <w:p w14:paraId="731C22AA">
            <w:pPr>
              <w:ind w:firstLine="422" w:firstLineChars="200"/>
              <w:jc w:val="left"/>
              <w:rPr>
                <w:rFonts w:hint="eastAsia" w:ascii="FPEF" w:hAnsi="FPEF" w:eastAsia="FPEF" w:cs="Times New Roman"/>
                <w:b/>
                <w:bCs/>
              </w:rPr>
            </w:pPr>
            <w:r>
              <w:rPr>
                <w:rFonts w:hint="eastAsia" w:ascii="FPEF" w:hAnsi="FPEF" w:eastAsia="FPEF" w:cs="Times New Roman"/>
                <w:b/>
                <w:bCs/>
              </w:rPr>
              <w:t>主要技术指标、参数：</w:t>
            </w:r>
          </w:p>
          <w:p w14:paraId="50CC7F3A">
            <w:pPr>
              <w:ind w:firstLine="420" w:firstLineChars="200"/>
              <w:jc w:val="left"/>
              <w:rPr>
                <w:rFonts w:hint="eastAsia" w:ascii="FPEF" w:hAnsi="FPEF" w:eastAsia="FPEF" w:cs="Times New Roman"/>
              </w:rPr>
            </w:pPr>
            <w:r>
              <w:rPr>
                <w:rFonts w:hint="eastAsia" w:ascii="FPEF" w:hAnsi="FPEF" w:eastAsia="FPEF" w:cs="Times New Roman"/>
                <w:lang w:val="en-US" w:eastAsia="zh-CN"/>
              </w:rPr>
              <w:t>数据分析、预警管理、数据管理及配套附录</w:t>
            </w:r>
            <w:r>
              <w:rPr>
                <w:rFonts w:hint="eastAsia" w:ascii="FPEF" w:hAnsi="FPEF" w:eastAsia="FPEF" w:cs="Times New Roman"/>
              </w:rPr>
              <w:t>是本标准的主要技术内容。</w:t>
            </w:r>
          </w:p>
          <w:p w14:paraId="1BDE206D">
            <w:pPr>
              <w:ind w:firstLine="422" w:firstLineChars="200"/>
              <w:jc w:val="left"/>
              <w:rPr>
                <w:rFonts w:hint="eastAsia" w:ascii="FPEF" w:hAnsi="FPEF" w:eastAsia="FPEF" w:cs="Times New Roman"/>
                <w:b/>
                <w:bCs/>
              </w:rPr>
            </w:pPr>
            <w:r>
              <w:rPr>
                <w:rFonts w:hint="eastAsia" w:ascii="FPEF" w:hAnsi="FPEF" w:eastAsia="FPEF" w:cs="Times New Roman"/>
                <w:b/>
                <w:bCs/>
              </w:rPr>
              <w:t>主要技术指标、参数、试验验证的论述：</w:t>
            </w:r>
          </w:p>
          <w:p w14:paraId="53D35B98">
            <w:pPr>
              <w:numPr>
                <w:ilvl w:val="0"/>
                <w:numId w:val="3"/>
              </w:numPr>
              <w:ind w:firstLine="420" w:firstLineChars="200"/>
              <w:jc w:val="left"/>
              <w:rPr>
                <w:rFonts w:hint="eastAsia" w:ascii="FPEF" w:hAnsi="FPEF" w:eastAsia="FPEF" w:cs="Times New Roman"/>
                <w:lang w:val="en-US" w:eastAsia="zh-CN"/>
              </w:rPr>
            </w:pPr>
            <w:r>
              <w:rPr>
                <w:rFonts w:hint="eastAsia" w:ascii="FPEF" w:hAnsi="FPEF" w:eastAsia="FPEF" w:cs="Times New Roman"/>
                <w:lang w:val="en-US" w:eastAsia="zh-CN"/>
              </w:rPr>
              <w:t>规定了内河水运健康监测数据分析与预警基本规定</w:t>
            </w:r>
          </w:p>
          <w:p w14:paraId="66C6DC8D">
            <w:pPr>
              <w:ind w:firstLine="420" w:firstLineChars="200"/>
              <w:jc w:val="left"/>
              <w:rPr>
                <w:rFonts w:hint="default" w:ascii="FPEF" w:hAnsi="FPEF" w:eastAsia="宋体" w:cs="Times New Roman"/>
                <w:lang w:val="en-US" w:eastAsia="zh-CN"/>
              </w:rPr>
            </w:pPr>
            <w:r>
              <w:rPr>
                <w:rFonts w:hint="eastAsia" w:ascii="FPEF" w:hAnsi="FPEF" w:eastAsia="FPEF" w:cs="Times New Roman"/>
                <w:lang w:val="en-US" w:eastAsia="zh-CN"/>
              </w:rPr>
              <w:t>规定了为科学建立水运设施健康监测数据分析预警体系，应遵循的通用原则，主要包括平台架构、平台功能、适用场景、建设方式、平台安全等方面要求</w:t>
            </w:r>
            <w:r>
              <w:rPr>
                <w:rFonts w:hint="eastAsia"/>
                <w:lang w:val="en-US" w:eastAsia="zh-CN"/>
              </w:rPr>
              <w:t>。</w:t>
            </w:r>
          </w:p>
          <w:p w14:paraId="63EC7A73">
            <w:pPr>
              <w:numPr>
                <w:ilvl w:val="0"/>
                <w:numId w:val="3"/>
              </w:numPr>
              <w:ind w:left="0" w:leftChars="0" w:firstLine="420" w:firstLineChars="200"/>
              <w:jc w:val="left"/>
              <w:rPr>
                <w:rFonts w:hint="default" w:ascii="FPEF" w:hAnsi="FPEF" w:eastAsia="FPEF" w:cs="Times New Roman"/>
                <w:lang w:val="en-US" w:eastAsia="zh-CN"/>
              </w:rPr>
            </w:pPr>
            <w:r>
              <w:rPr>
                <w:rFonts w:hint="eastAsia" w:ascii="FPEF" w:hAnsi="FPEF" w:eastAsia="FPEF" w:cs="Times New Roman"/>
                <w:lang w:val="en-US" w:eastAsia="zh-CN"/>
              </w:rPr>
              <w:t>规定了内河水运健康监测数据实时监测主要内容和要求</w:t>
            </w:r>
          </w:p>
          <w:p w14:paraId="3A223AB4">
            <w:pPr>
              <w:ind w:firstLine="420" w:firstLineChars="200"/>
              <w:jc w:val="left"/>
              <w:rPr>
                <w:rFonts w:hint="eastAsia" w:ascii="FPEF" w:hAnsi="FPEF" w:eastAsia="FPEF" w:cs="Times New Roman"/>
                <w:lang w:val="en-US" w:eastAsia="zh-CN"/>
              </w:rPr>
            </w:pPr>
            <w:r>
              <w:rPr>
                <w:rFonts w:hint="eastAsia" w:ascii="FPEF" w:hAnsi="FPEF" w:eastAsia="FPEF" w:cs="Times New Roman"/>
                <w:lang w:val="en-US" w:eastAsia="zh-CN"/>
              </w:rPr>
              <w:t>实时监测数据类型、内容及要求应按照DB34/T 4828.1中数据采集相关要求执行。同时规定了实时监测的数据应以电子航道图或三维模型为地图底座，集中呈现传感设备实时监测和人工定时检测的内河水运设施健康运行状态数据。地图应以不同颜色区分显示设施健康状态，应支持地图漫游、智能检索、空间汇聚等功能。宜采用可视化图表的形式，汇总显示设施总数、预警总数、报警总数、误报总数等。宜按照地域、设施、时间等条件，汇总显示各类设施监测、预警、处置的实时数据和历史数据。</w:t>
            </w:r>
          </w:p>
          <w:p w14:paraId="18B382BC">
            <w:pPr>
              <w:numPr>
                <w:ilvl w:val="0"/>
                <w:numId w:val="3"/>
              </w:numPr>
              <w:ind w:left="0" w:leftChars="0" w:firstLine="420" w:firstLineChars="200"/>
              <w:jc w:val="left"/>
              <w:rPr>
                <w:rFonts w:hint="eastAsia" w:ascii="FPEF" w:hAnsi="FPEF" w:eastAsia="FPEF" w:cs="Times New Roman"/>
                <w:lang w:val="en-US" w:eastAsia="zh-CN"/>
              </w:rPr>
            </w:pPr>
            <w:r>
              <w:rPr>
                <w:rFonts w:hint="eastAsia" w:ascii="FPEF" w:hAnsi="FPEF" w:eastAsia="FPEF" w:cs="Times New Roman"/>
                <w:lang w:val="en-US" w:eastAsia="zh-CN"/>
              </w:rPr>
              <w:t>规定了内河水运设施健康监测数据分析主要内容和要求</w:t>
            </w:r>
          </w:p>
          <w:p w14:paraId="5E7B0139">
            <w:pPr>
              <w:numPr>
                <w:ilvl w:val="0"/>
                <w:numId w:val="0"/>
              </w:numPr>
              <w:ind w:firstLine="420" w:firstLineChars="200"/>
              <w:jc w:val="left"/>
              <w:rPr>
                <w:rFonts w:hint="default" w:ascii="FPEF" w:hAnsi="FPEF" w:eastAsia="FPEF" w:cs="Times New Roman"/>
                <w:lang w:val="en-US" w:eastAsia="zh-CN"/>
              </w:rPr>
            </w:pPr>
            <w:r>
              <w:rPr>
                <w:rFonts w:hint="eastAsia" w:ascii="FPEF" w:hAnsi="FPEF" w:eastAsia="FPEF" w:cs="Times New Roman"/>
                <w:lang w:val="en-US" w:eastAsia="zh-CN"/>
              </w:rPr>
              <w:t>规定了用于水运设施健康监测数据分析的数据应经过数据预处理形成对应</w:t>
            </w:r>
            <w:r>
              <w:rPr>
                <w:rFonts w:hint="eastAsia"/>
                <w:lang w:val="en-US" w:eastAsia="zh-CN"/>
              </w:rPr>
              <w:t>状态特征指标</w:t>
            </w:r>
            <w:r>
              <w:rPr>
                <w:rFonts w:hint="eastAsia" w:ascii="FPEF" w:hAnsi="FPEF" w:eastAsia="FPEF" w:cs="Times New Roman"/>
                <w:lang w:val="en-US" w:eastAsia="zh-CN"/>
              </w:rPr>
              <w:t>，且相关状态特征指标超越预设阈值触发风险事件时，系统应及时发出预警信息。对于船闸、码头、跨闸桥梁不同设施的</w:t>
            </w:r>
            <w:r>
              <w:rPr>
                <w:rFonts w:hint="eastAsia"/>
                <w:lang w:val="en-US" w:eastAsia="zh-CN"/>
              </w:rPr>
              <w:t>状态特征指标的超限阈值判据可分为1至3级设置，并归纳了常见常见状态特征指标对应的超限初始阈值，并形成对应的附录表格加以约束。相关阈值的设置主要参考了《水运工程水工建筑物检测与评估技术规范》（JTS 304）、《港口水工建筑物结构健康监测技术规范》（JTS/T 312）等。</w:t>
            </w:r>
          </w:p>
          <w:p w14:paraId="430C891C">
            <w:pPr>
              <w:numPr>
                <w:ilvl w:val="0"/>
                <w:numId w:val="3"/>
              </w:numPr>
              <w:ind w:left="0" w:leftChars="0" w:firstLine="420" w:firstLineChars="200"/>
              <w:jc w:val="left"/>
              <w:rPr>
                <w:rFonts w:hint="eastAsia" w:ascii="FPEF" w:hAnsi="FPEF" w:eastAsia="FPEF" w:cs="Times New Roman"/>
                <w:lang w:val="en-US" w:eastAsia="zh-CN"/>
              </w:rPr>
            </w:pPr>
            <w:r>
              <w:rPr>
                <w:rFonts w:hint="eastAsia" w:ascii="FPEF" w:hAnsi="FPEF" w:eastAsia="FPEF" w:cs="Times New Roman"/>
                <w:lang w:val="en-US" w:eastAsia="zh-CN"/>
              </w:rPr>
              <w:t>规定了内河水运设施健康监测预警管理、评估决策和应急处置的主要内容和要求</w:t>
            </w:r>
          </w:p>
          <w:p w14:paraId="121C1CB7">
            <w:pPr>
              <w:numPr>
                <w:ilvl w:val="0"/>
                <w:numId w:val="0"/>
              </w:numPr>
              <w:ind w:firstLine="420" w:firstLineChars="200"/>
              <w:jc w:val="left"/>
              <w:rPr>
                <w:rFonts w:hint="default" w:ascii="FPEF" w:hAnsi="FPEF" w:eastAsia="FPEF" w:cs="Times New Roman"/>
                <w:lang w:val="en-US" w:eastAsia="zh-CN"/>
              </w:rPr>
            </w:pPr>
            <w:r>
              <w:rPr>
                <w:rFonts w:hint="eastAsia" w:ascii="FPEF" w:hAnsi="FPEF" w:eastAsia="FPEF" w:cs="Times New Roman"/>
                <w:lang w:val="en-US" w:eastAsia="zh-CN"/>
              </w:rPr>
              <w:t>规定了预警等级直接对应内河水运设施结构健康度等级，宜设为绿色、黄色和红色三个级别，预警等级的升降级模式应包括系统自动触发和人工调整两种，内河水运设施健康监测各级预警等级、触发模式、判别依据。在评估决策方面规定了不同预警等级内河水运设施的定期评估频率，船闸、码头服役状态评估报告内容应符合JTS 304中相关规定，跨闸桥梁服役状态评估报告内容应符合JT/T 1037 中的相关规定。在应急处置方面，规定了不同等级预警的应急处置主要措施，同时规定了系统的应急预案，并与管养单位相关的安全预警机制配套，并形成联动机制，并定期对其有效性进行检查评估。</w:t>
            </w:r>
          </w:p>
          <w:p w14:paraId="5EA8DC36">
            <w:pPr>
              <w:numPr>
                <w:ilvl w:val="0"/>
                <w:numId w:val="0"/>
              </w:numPr>
              <w:ind w:firstLine="420" w:firstLineChars="200"/>
              <w:jc w:val="left"/>
              <w:rPr>
                <w:rFonts w:hint="eastAsia" w:ascii="FPEF" w:hAnsi="FPEF" w:eastAsia="FPEF" w:cs="Times New Roman"/>
                <w:lang w:val="en-US" w:eastAsia="zh-CN"/>
              </w:rPr>
            </w:pPr>
            <w:r>
              <w:rPr>
                <w:rFonts w:hint="eastAsia" w:ascii="FPEF" w:hAnsi="FPEF" w:eastAsia="FPEF" w:cs="Times New Roman"/>
                <w:lang w:val="en-US" w:eastAsia="zh-CN"/>
              </w:rPr>
              <w:t>（5）规定了内河水运设施健康监测数据管理的相关要求</w:t>
            </w:r>
          </w:p>
          <w:p w14:paraId="67E5AA99">
            <w:pPr>
              <w:pStyle w:val="4"/>
              <w:adjustRightInd w:val="0"/>
              <w:spacing w:line="400" w:lineRule="atLeast"/>
              <w:ind w:firstLine="420" w:firstLineChars="200"/>
              <w:contextualSpacing/>
              <w:rPr>
                <w:rFonts w:hAnsi="宋体"/>
                <w:szCs w:val="21"/>
              </w:rPr>
            </w:pPr>
            <w:r>
              <w:rPr>
                <w:rFonts w:hint="eastAsia" w:ascii="FPEF" w:hAnsi="FPEF" w:eastAsia="FPEF" w:cs="Times New Roman"/>
                <w:lang w:val="en-US" w:eastAsia="zh-CN"/>
              </w:rPr>
              <w:t>为保障内河水运健康监测数据管理的准确性，规定了数据管理在数据预处理、数据存储、数据呈现、数据交换、数据质量和数据安全等环节的相关要求。数据管理章节在</w:t>
            </w:r>
            <w:r>
              <w:rPr>
                <w:rFonts w:hint="eastAsia"/>
                <w:lang w:val="en-US" w:eastAsia="zh-CN"/>
              </w:rPr>
              <w:t>编制过程中主要参考了《信息技术　数据质量评价指标》（GB/T 36344）、信息安全技术　物联网数据传输安全技术要求（GB/T 37025）等标准。</w:t>
            </w:r>
          </w:p>
        </w:tc>
      </w:tr>
      <w:tr w14:paraId="3A8D9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166571F1">
            <w:pPr>
              <w:pStyle w:val="4"/>
              <w:adjustRightInd w:val="0"/>
              <w:spacing w:line="360" w:lineRule="auto"/>
              <w:ind w:firstLine="0" w:firstLineChars="0"/>
              <w:contextualSpacing/>
              <w:rPr>
                <w:rFonts w:hAnsi="宋体"/>
                <w:szCs w:val="21"/>
              </w:rPr>
            </w:pPr>
            <w:bookmarkStart w:id="0" w:name="_Toc464902852"/>
            <w:bookmarkStart w:id="1" w:name="_Toc464905557"/>
            <w:bookmarkStart w:id="2" w:name="_Toc465074266"/>
            <w:bookmarkStart w:id="3" w:name="_Toc464905613"/>
            <w:bookmarkStart w:id="4" w:name="_Toc464905809"/>
            <w:r>
              <w:rPr>
                <w:rFonts w:hint="eastAsia" w:hAnsi="宋体"/>
                <w:szCs w:val="21"/>
              </w:rPr>
              <w:t>5、标准中如果涉及专利，应有明确的知识产权说明</w:t>
            </w:r>
            <w:bookmarkEnd w:id="0"/>
            <w:bookmarkEnd w:id="1"/>
            <w:bookmarkEnd w:id="2"/>
            <w:bookmarkEnd w:id="3"/>
            <w:bookmarkEnd w:id="4"/>
          </w:p>
        </w:tc>
      </w:tr>
      <w:tr w14:paraId="0A184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7F6549E6">
            <w:pPr>
              <w:pStyle w:val="4"/>
              <w:adjustRightInd w:val="0"/>
              <w:spacing w:line="360" w:lineRule="auto"/>
              <w:ind w:firstLine="420" w:firstLineChars="200"/>
              <w:contextualSpacing/>
              <w:rPr>
                <w:rFonts w:hAnsi="宋体"/>
                <w:szCs w:val="21"/>
              </w:rPr>
            </w:pPr>
            <w:r>
              <w:rPr>
                <w:rFonts w:hint="eastAsia" w:ascii="FPEF" w:hAnsi="FPEF" w:eastAsia="FPEF"/>
                <w:lang w:val="en-US" w:eastAsia="zh-CN"/>
              </w:rPr>
              <w:t>本标准编制过程中没有涉及到专利</w:t>
            </w:r>
            <w:r>
              <w:rPr>
                <w:rFonts w:hint="eastAsia" w:ascii="FPEF" w:hAnsi="FPEF" w:eastAsia="FPEF"/>
              </w:rPr>
              <w:t>。</w:t>
            </w:r>
          </w:p>
        </w:tc>
      </w:tr>
      <w:tr w14:paraId="5E5BA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08A6D868">
            <w:pPr>
              <w:pStyle w:val="4"/>
              <w:adjustRightInd w:val="0"/>
              <w:spacing w:line="360" w:lineRule="auto"/>
              <w:ind w:firstLine="0" w:firstLineChars="0"/>
              <w:contextualSpacing/>
              <w:rPr>
                <w:rFonts w:hAnsi="宋体"/>
                <w:szCs w:val="21"/>
              </w:rPr>
            </w:pPr>
            <w:bookmarkStart w:id="5" w:name="_Toc464905558"/>
            <w:bookmarkStart w:id="6" w:name="_Toc464905614"/>
            <w:bookmarkStart w:id="7" w:name="_Toc465074267"/>
            <w:bookmarkStart w:id="8" w:name="_Toc464905810"/>
            <w:bookmarkStart w:id="9" w:name="_Toc464902853"/>
            <w:r>
              <w:rPr>
                <w:rFonts w:hint="eastAsia" w:hAnsi="宋体"/>
                <w:szCs w:val="21"/>
              </w:rPr>
              <w:t>6、采用国际标准或国外先进标准的，说明采标程度，以及国内外同类标准水平的对比情况</w:t>
            </w:r>
            <w:bookmarkEnd w:id="5"/>
            <w:bookmarkEnd w:id="6"/>
            <w:bookmarkEnd w:id="7"/>
            <w:bookmarkEnd w:id="8"/>
            <w:bookmarkEnd w:id="9"/>
          </w:p>
        </w:tc>
      </w:tr>
      <w:tr w14:paraId="24118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0F5B6D51">
            <w:pPr>
              <w:pStyle w:val="4"/>
              <w:adjustRightInd w:val="0"/>
              <w:spacing w:line="360" w:lineRule="auto"/>
              <w:ind w:firstLine="420" w:firstLineChars="200"/>
              <w:contextualSpacing/>
              <w:rPr>
                <w:rFonts w:hAnsi="宋体"/>
                <w:szCs w:val="21"/>
              </w:rPr>
            </w:pPr>
            <w:r>
              <w:rPr>
                <w:rFonts w:hint="eastAsia" w:ascii="FPEF" w:hAnsi="FPEF" w:eastAsia="FPEF" w:cs="Times New Roman"/>
              </w:rPr>
              <w:t>本标准不涉及国际标准或国外标准。</w:t>
            </w:r>
          </w:p>
        </w:tc>
      </w:tr>
      <w:tr w14:paraId="38EDF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1DF5E1FA">
            <w:pPr>
              <w:pStyle w:val="4"/>
              <w:adjustRightInd w:val="0"/>
              <w:spacing w:line="360" w:lineRule="auto"/>
              <w:ind w:firstLine="0" w:firstLineChars="0"/>
              <w:contextualSpacing/>
              <w:rPr>
                <w:rFonts w:hAnsi="宋体"/>
                <w:szCs w:val="21"/>
              </w:rPr>
            </w:pPr>
            <w:bookmarkStart w:id="10" w:name="_Toc464905811"/>
            <w:bookmarkStart w:id="11" w:name="_Toc464902854"/>
            <w:bookmarkStart w:id="12" w:name="_Toc465074268"/>
            <w:bookmarkStart w:id="13" w:name="_Toc464905559"/>
            <w:bookmarkStart w:id="14" w:name="_Toc464905615"/>
            <w:r>
              <w:rPr>
                <w:rFonts w:hint="eastAsia" w:hAnsi="宋体"/>
                <w:szCs w:val="21"/>
              </w:rPr>
              <w:t>7、重大分歧意见的处理经过和依据</w:t>
            </w:r>
            <w:bookmarkEnd w:id="10"/>
            <w:bookmarkEnd w:id="11"/>
            <w:bookmarkEnd w:id="12"/>
            <w:bookmarkEnd w:id="13"/>
            <w:bookmarkEnd w:id="14"/>
          </w:p>
        </w:tc>
      </w:tr>
      <w:tr w14:paraId="2CCB7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6EB22CA5">
            <w:pPr>
              <w:pStyle w:val="4"/>
              <w:adjustRightInd w:val="0"/>
              <w:spacing w:line="360" w:lineRule="auto"/>
              <w:ind w:firstLine="420" w:firstLineChars="200"/>
              <w:contextualSpacing/>
              <w:rPr>
                <w:rFonts w:hAnsi="宋体"/>
                <w:szCs w:val="21"/>
              </w:rPr>
            </w:pPr>
            <w:r>
              <w:rPr>
                <w:rFonts w:hint="eastAsia" w:ascii="FPEF" w:hAnsi="FPEF" w:eastAsia="FPEF"/>
                <w:lang w:val="en-US" w:eastAsia="zh-CN"/>
              </w:rPr>
              <w:t>本标准在编制过程中没有重大分歧意见</w:t>
            </w:r>
            <w:r>
              <w:rPr>
                <w:rFonts w:hint="eastAsia" w:ascii="FPEF" w:hAnsi="FPEF" w:eastAsia="FPEF"/>
              </w:rPr>
              <w:t>。</w:t>
            </w:r>
          </w:p>
        </w:tc>
      </w:tr>
      <w:tr w14:paraId="0CEC6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407D44C5">
            <w:pPr>
              <w:pStyle w:val="4"/>
              <w:adjustRightInd w:val="0"/>
              <w:spacing w:line="360" w:lineRule="auto"/>
              <w:ind w:firstLine="0" w:firstLineChars="0"/>
              <w:contextualSpacing/>
              <w:rPr>
                <w:rFonts w:hAnsi="宋体"/>
                <w:szCs w:val="21"/>
              </w:rPr>
            </w:pPr>
            <w:bookmarkStart w:id="15" w:name="_Toc464905560"/>
            <w:bookmarkStart w:id="16" w:name="_Toc465074269"/>
            <w:bookmarkStart w:id="17" w:name="_Toc464905616"/>
            <w:bookmarkStart w:id="18" w:name="_Toc464905812"/>
            <w:bookmarkStart w:id="19" w:name="_Toc464902855"/>
            <w:r>
              <w:rPr>
                <w:rFonts w:hint="eastAsia" w:hAnsi="宋体"/>
                <w:szCs w:val="21"/>
              </w:rPr>
              <w:t>8、贯彻标准的要求和措施建议（包括组织措施、技术措施、过渡办法、实施日期等）</w:t>
            </w:r>
            <w:bookmarkEnd w:id="15"/>
            <w:bookmarkEnd w:id="16"/>
            <w:bookmarkEnd w:id="17"/>
            <w:bookmarkEnd w:id="18"/>
            <w:bookmarkEnd w:id="19"/>
          </w:p>
        </w:tc>
      </w:tr>
      <w:tr w14:paraId="7131B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0A393B9E">
            <w:pPr>
              <w:pStyle w:val="4"/>
              <w:adjustRightInd w:val="0"/>
              <w:spacing w:line="360" w:lineRule="auto"/>
              <w:ind w:firstLine="420" w:firstLineChars="200"/>
              <w:contextualSpacing/>
              <w:rPr>
                <w:rFonts w:hint="default" w:hAnsi="宋体" w:eastAsia="宋体"/>
                <w:szCs w:val="21"/>
                <w:lang w:val="en-US" w:eastAsia="zh-CN"/>
              </w:rPr>
            </w:pPr>
            <w:r>
              <w:rPr>
                <w:rFonts w:hint="eastAsia" w:ascii="FPEF" w:hAnsi="FPEF" w:eastAsia="FPEF" w:cs="Times New Roman"/>
              </w:rPr>
              <w:t>按照归口管理部门的统一安排进行标准宣贯。</w:t>
            </w:r>
          </w:p>
        </w:tc>
      </w:tr>
      <w:tr w14:paraId="456BF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0E2B2687">
            <w:pPr>
              <w:pStyle w:val="4"/>
              <w:adjustRightInd w:val="0"/>
              <w:spacing w:line="360" w:lineRule="auto"/>
              <w:ind w:firstLine="0" w:firstLineChars="0"/>
              <w:contextualSpacing/>
              <w:rPr>
                <w:rFonts w:hAnsi="宋体"/>
                <w:szCs w:val="21"/>
              </w:rPr>
            </w:pPr>
            <w:bookmarkStart w:id="20" w:name="_Toc464905813"/>
            <w:bookmarkStart w:id="21" w:name="_Toc464902856"/>
            <w:bookmarkStart w:id="22" w:name="_Toc465074270"/>
            <w:bookmarkStart w:id="23" w:name="_Toc464905561"/>
            <w:bookmarkStart w:id="24" w:name="_Toc464905617"/>
            <w:r>
              <w:rPr>
                <w:rFonts w:hint="eastAsia" w:hAnsi="宋体"/>
                <w:szCs w:val="21"/>
              </w:rPr>
              <w:t>9、废止现行相关标准的建议</w:t>
            </w:r>
            <w:bookmarkEnd w:id="20"/>
            <w:bookmarkEnd w:id="21"/>
            <w:bookmarkEnd w:id="22"/>
            <w:bookmarkEnd w:id="23"/>
            <w:bookmarkEnd w:id="24"/>
          </w:p>
        </w:tc>
      </w:tr>
      <w:tr w14:paraId="076DA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58EE5B9F">
            <w:pPr>
              <w:pStyle w:val="4"/>
              <w:adjustRightInd w:val="0"/>
              <w:spacing w:line="360" w:lineRule="auto"/>
              <w:ind w:firstLine="420" w:firstLineChars="200"/>
              <w:contextualSpacing/>
              <w:rPr>
                <w:rFonts w:hint="eastAsia" w:hAnsi="宋体" w:eastAsia="宋体"/>
                <w:szCs w:val="21"/>
                <w:lang w:val="en-US" w:eastAsia="zh-CN"/>
              </w:rPr>
            </w:pPr>
            <w:r>
              <w:rPr>
                <w:rFonts w:hint="eastAsia" w:hAnsi="宋体"/>
                <w:szCs w:val="21"/>
                <w:lang w:val="en-US" w:eastAsia="zh-CN"/>
              </w:rPr>
              <w:t>无。</w:t>
            </w:r>
          </w:p>
        </w:tc>
      </w:tr>
      <w:tr w14:paraId="03168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15ECB366">
            <w:pPr>
              <w:pStyle w:val="4"/>
              <w:adjustRightInd w:val="0"/>
              <w:spacing w:line="360" w:lineRule="auto"/>
              <w:ind w:firstLine="0" w:firstLineChars="0"/>
              <w:contextualSpacing/>
              <w:rPr>
                <w:rFonts w:hAnsi="宋体"/>
                <w:szCs w:val="21"/>
              </w:rPr>
            </w:pPr>
            <w:bookmarkStart w:id="25" w:name="_Toc464902857"/>
            <w:bookmarkStart w:id="26" w:name="_Toc464905562"/>
            <w:bookmarkStart w:id="27" w:name="_Toc465074271"/>
            <w:bookmarkStart w:id="28" w:name="_Toc464905814"/>
            <w:bookmarkStart w:id="29" w:name="_Toc464905618"/>
            <w:r>
              <w:rPr>
                <w:rFonts w:hint="eastAsia" w:hAnsi="宋体"/>
                <w:szCs w:val="21"/>
              </w:rPr>
              <w:t>10、其它应予说明的事项</w:t>
            </w:r>
            <w:bookmarkEnd w:id="25"/>
            <w:bookmarkEnd w:id="26"/>
            <w:bookmarkEnd w:id="27"/>
            <w:bookmarkEnd w:id="28"/>
            <w:bookmarkEnd w:id="29"/>
          </w:p>
        </w:tc>
      </w:tr>
      <w:tr w14:paraId="58D11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7AC29E53">
            <w:pPr>
              <w:pStyle w:val="4"/>
              <w:adjustRightInd w:val="0"/>
              <w:spacing w:line="360" w:lineRule="auto"/>
              <w:ind w:firstLine="420" w:firstLineChars="200"/>
              <w:contextualSpacing/>
              <w:rPr>
                <w:rFonts w:hint="default" w:hAnsi="宋体" w:eastAsia="宋体"/>
                <w:szCs w:val="21"/>
                <w:lang w:val="en-US" w:eastAsia="zh-CN"/>
              </w:rPr>
            </w:pPr>
            <w:r>
              <w:rPr>
                <w:rFonts w:hint="eastAsia" w:hAnsi="宋体"/>
                <w:szCs w:val="21"/>
                <w:lang w:val="en-US" w:eastAsia="zh-CN"/>
              </w:rPr>
              <w:t>无。</w:t>
            </w:r>
          </w:p>
        </w:tc>
      </w:tr>
    </w:tbl>
    <w:p w14:paraId="7C2FB13F">
      <w:pPr>
        <w:pStyle w:val="5"/>
      </w:pPr>
      <w:r>
        <w:rPr>
          <w:rFonts w:hint="eastAsia"/>
        </w:rPr>
        <w:t>没有的请填写 “无”。</w:t>
      </w:r>
    </w:p>
    <w:p w14:paraId="5188B76B"/>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FPEF">
    <w:altName w:val="宋体"/>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8D81F3"/>
    <w:multiLevelType w:val="singleLevel"/>
    <w:tmpl w:val="138D81F3"/>
    <w:lvl w:ilvl="0" w:tentative="0">
      <w:start w:val="1"/>
      <w:numFmt w:val="decimal"/>
      <w:suff w:val="nothing"/>
      <w:lvlText w:val="（%1）"/>
      <w:lvlJc w:val="left"/>
    </w:lvl>
  </w:abstractNum>
  <w:abstractNum w:abstractNumId="1">
    <w:nsid w:val="5A85BAC1"/>
    <w:multiLevelType w:val="singleLevel"/>
    <w:tmpl w:val="5A85BAC1"/>
    <w:lvl w:ilvl="0" w:tentative="0">
      <w:start w:val="1"/>
      <w:numFmt w:val="decimal"/>
      <w:suff w:val="nothing"/>
      <w:lvlText w:val="%1）"/>
      <w:lvlJc w:val="left"/>
    </w:lvl>
  </w:abstractNum>
  <w:abstractNum w:abstractNumId="2">
    <w:nsid w:val="6DBF04F4"/>
    <w:multiLevelType w:val="multilevel"/>
    <w:tmpl w:val="6DBF04F4"/>
    <w:lvl w:ilvl="0" w:tentative="0">
      <w:start w:val="1"/>
      <w:numFmt w:val="none"/>
      <w:pStyle w:val="5"/>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xOTZhYzgyMjNjNTcwYWE4ZGU0MWI5OTU3MDFkZjkifQ=="/>
  </w:docVars>
  <w:rsids>
    <w:rsidRoot w:val="496F1455"/>
    <w:rsid w:val="035923F2"/>
    <w:rsid w:val="05C33071"/>
    <w:rsid w:val="104F3F68"/>
    <w:rsid w:val="15BC58FB"/>
    <w:rsid w:val="49316623"/>
    <w:rsid w:val="496F1455"/>
    <w:rsid w:val="5EC10660"/>
    <w:rsid w:val="5FC23BC4"/>
    <w:rsid w:val="68923B67"/>
    <w:rsid w:val="70DE47D5"/>
    <w:rsid w:val="756242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customStyle="1" w:styleId="4">
    <w:name w:val="段"/>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paragraph" w:customStyle="1" w:styleId="5">
    <w:name w:val="标准文件_注："/>
    <w:next w:val="6"/>
    <w:autoRedefine/>
    <w:qFormat/>
    <w:uiPriority w:val="0"/>
    <w:pPr>
      <w:widowControl w:val="0"/>
      <w:numPr>
        <w:ilvl w:val="0"/>
        <w:numId w:val="1"/>
      </w:numPr>
      <w:autoSpaceDE w:val="0"/>
      <w:autoSpaceDN w:val="0"/>
      <w:jc w:val="both"/>
    </w:pPr>
    <w:rPr>
      <w:rFonts w:ascii="宋体" w:hAnsi="Times New Roman" w:eastAsia="宋体" w:cs="Times New Roman"/>
      <w:kern w:val="0"/>
      <w:sz w:val="18"/>
      <w:szCs w:val="18"/>
      <w:lang w:val="en-US" w:eastAsia="zh-CN" w:bidi="ar-SA"/>
    </w:rPr>
  </w:style>
  <w:style w:type="paragraph" w:customStyle="1" w:styleId="6">
    <w:name w:val="标准文件_段"/>
    <w:autoRedefine/>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4608</Words>
  <Characters>4912</Characters>
  <Lines>0</Lines>
  <Paragraphs>0</Paragraphs>
  <TotalTime>1</TotalTime>
  <ScaleCrop>false</ScaleCrop>
  <LinksUpToDate>false</LinksUpToDate>
  <CharactersWithSpaces>4969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2024-04-07T08:00:00Z</dcterms:created>
  <dc:creator>蔡～happy</dc:creator>
  <cp:lastModifiedBy>蔡～happy</cp:lastModifiedBy>
  <cp:lastPrinted>2024-04-12T03:17:00Z</cp:lastPrinted>
  <dcterms:modified xsi:type="dcterms:W3CDTF">2024-12-25T08:50:35Z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178AC1F8BDDF4261981822682338DECF_13</vt:lpwstr>
  </property>
</Properties>
</file>